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660EFD" w:rsidRPr="008F058E" w:rsidTr="00375E44">
        <w:trPr>
          <w:trHeight w:val="852"/>
          <w:jc w:val="center"/>
        </w:trPr>
        <w:tc>
          <w:tcPr>
            <w:tcW w:w="6940" w:type="dxa"/>
            <w:vMerge w:val="restart"/>
            <w:tcBorders>
              <w:right w:val="single" w:sz="4" w:space="0" w:color="auto"/>
            </w:tcBorders>
          </w:tcPr>
          <w:p w:rsidR="00660EFD" w:rsidRPr="008F058E" w:rsidRDefault="00CE7F3A" w:rsidP="00BD16CD">
            <w:pPr>
              <w:tabs>
                <w:tab w:val="left" w:pos="-108"/>
              </w:tabs>
              <w:ind w:left="-108"/>
              <w:jc w:val="left"/>
              <w:rPr>
                <w:rFonts w:cs="Arial"/>
                <w:b/>
                <w:bCs/>
                <w:i/>
                <w:iCs/>
                <w:color w:val="000066"/>
                <w:szCs w:val="18"/>
                <w:lang w:eastAsia="it-IT"/>
              </w:rPr>
            </w:pPr>
            <w:bookmarkStart w:id="0" w:name="_Hlk145068772"/>
            <w:r w:rsidRPr="00012415">
              <w:rPr>
                <w:rFonts w:cs="Arial"/>
                <w:noProof/>
                <w:color w:val="241F20"/>
                <w:szCs w:val="18"/>
                <w:lang w:val="ru-RU" w:eastAsia="ru-RU"/>
              </w:rPr>
              <w:drawing>
                <wp:inline distT="0" distB="0" distL="0" distR="0">
                  <wp:extent cx="643255" cy="372745"/>
                  <wp:effectExtent l="0" t="0" r="0" b="0"/>
                  <wp:docPr id="1"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3255" cy="372745"/>
                          </a:xfrm>
                          <a:prstGeom prst="rect">
                            <a:avLst/>
                          </a:prstGeom>
                          <a:noFill/>
                          <a:ln>
                            <a:noFill/>
                          </a:ln>
                        </pic:spPr>
                      </pic:pic>
                    </a:graphicData>
                  </a:graphic>
                </wp:inline>
              </w:drawing>
            </w:r>
            <w:r w:rsidR="00660EFD" w:rsidRPr="008F058E">
              <w:rPr>
                <w:rFonts w:cs="Arial"/>
                <w:color w:val="241F20"/>
                <w:szCs w:val="18"/>
                <w:lang w:eastAsia="it-IT"/>
              </w:rPr>
              <w:t xml:space="preserve"> </w:t>
            </w:r>
            <w:r w:rsidR="00660EFD" w:rsidRPr="008F058E">
              <w:rPr>
                <w:rFonts w:cs="Arial"/>
                <w:b/>
                <w:bCs/>
                <w:i/>
                <w:iCs/>
                <w:color w:val="000066"/>
                <w:szCs w:val="18"/>
                <w:lang w:eastAsia="it-IT"/>
              </w:rPr>
              <w:t>CHEMICAL ENGINEERING</w:t>
            </w:r>
            <w:r w:rsidR="00660EFD" w:rsidRPr="008F058E">
              <w:rPr>
                <w:rFonts w:cs="Arial"/>
                <w:b/>
                <w:bCs/>
                <w:i/>
                <w:iCs/>
                <w:color w:val="0033FF"/>
                <w:szCs w:val="18"/>
                <w:lang w:eastAsia="it-IT"/>
              </w:rPr>
              <w:t xml:space="preserve"> </w:t>
            </w:r>
            <w:r w:rsidR="00660EFD" w:rsidRPr="008F058E">
              <w:rPr>
                <w:rFonts w:cs="Arial"/>
                <w:b/>
                <w:bCs/>
                <w:i/>
                <w:iCs/>
                <w:color w:val="666666"/>
                <w:szCs w:val="18"/>
                <w:lang w:eastAsia="it-IT"/>
              </w:rPr>
              <w:t>TRANSACTIONS</w:t>
            </w:r>
            <w:r w:rsidR="00660EFD" w:rsidRPr="008F058E">
              <w:rPr>
                <w:rFonts w:cs="Arial"/>
                <w:color w:val="333333"/>
                <w:szCs w:val="18"/>
                <w:lang w:eastAsia="it-IT"/>
              </w:rPr>
              <w:t xml:space="preserve"> </w:t>
            </w:r>
            <w:r w:rsidR="00660EFD" w:rsidRPr="008F058E">
              <w:rPr>
                <w:rFonts w:cs="Arial"/>
                <w:b/>
                <w:bCs/>
                <w:i/>
                <w:iCs/>
                <w:color w:val="000066"/>
                <w:szCs w:val="18"/>
                <w:lang w:eastAsia="it-IT"/>
              </w:rPr>
              <w:br/>
            </w:r>
          </w:p>
          <w:p w:rsidR="00660EFD" w:rsidRPr="008F058E" w:rsidRDefault="00660EFD" w:rsidP="00BD16CD">
            <w:pPr>
              <w:tabs>
                <w:tab w:val="left" w:pos="-108"/>
              </w:tabs>
              <w:ind w:left="-108"/>
              <w:rPr>
                <w:rFonts w:cs="Arial"/>
                <w:b/>
                <w:bCs/>
                <w:i/>
                <w:iCs/>
                <w:color w:val="000066"/>
                <w:szCs w:val="18"/>
                <w:lang w:eastAsia="it-IT"/>
              </w:rPr>
            </w:pPr>
            <w:r w:rsidRPr="008F058E">
              <w:rPr>
                <w:rFonts w:cs="Arial"/>
                <w:b/>
                <w:bCs/>
                <w:i/>
                <w:iCs/>
                <w:color w:val="000066"/>
                <w:szCs w:val="18"/>
                <w:lang w:eastAsia="it-IT"/>
              </w:rPr>
              <w:t>VOL. xxx, 2026</w:t>
            </w:r>
          </w:p>
        </w:tc>
        <w:tc>
          <w:tcPr>
            <w:tcW w:w="1842" w:type="dxa"/>
            <w:tcBorders>
              <w:left w:val="single" w:sz="4" w:space="0" w:color="auto"/>
              <w:bottom w:val="nil"/>
              <w:right w:val="single" w:sz="4" w:space="0" w:color="auto"/>
            </w:tcBorders>
          </w:tcPr>
          <w:p w:rsidR="00660EFD" w:rsidRPr="008F058E" w:rsidRDefault="00660EFD" w:rsidP="00BD16CD">
            <w:pPr>
              <w:spacing w:line="140" w:lineRule="atLeast"/>
              <w:jc w:val="right"/>
              <w:rPr>
                <w:rFonts w:cs="Arial"/>
                <w:szCs w:val="18"/>
              </w:rPr>
            </w:pPr>
            <w:r w:rsidRPr="008F058E">
              <w:rPr>
                <w:rFonts w:cs="Arial"/>
                <w:szCs w:val="18"/>
              </w:rPr>
              <w:t>A publication of</w:t>
            </w:r>
          </w:p>
          <w:p w:rsidR="00660EFD" w:rsidRPr="008F058E" w:rsidRDefault="00CE7F3A" w:rsidP="00BD16CD">
            <w:pPr>
              <w:jc w:val="right"/>
              <w:rPr>
                <w:rFonts w:cs="Arial"/>
                <w:szCs w:val="18"/>
              </w:rPr>
            </w:pPr>
            <w:r w:rsidRPr="00012415">
              <w:rPr>
                <w:rFonts w:cs="Arial"/>
                <w:noProof/>
                <w:szCs w:val="18"/>
                <w:lang w:val="ru-RU" w:eastAsia="ru-RU"/>
              </w:rPr>
              <w:drawing>
                <wp:inline distT="0" distB="0" distL="0" distR="0">
                  <wp:extent cx="668655" cy="355600"/>
                  <wp:effectExtent l="0" t="0" r="0" b="0"/>
                  <wp:docPr id="2"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aidiclogo_gran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655" cy="355600"/>
                          </a:xfrm>
                          <a:prstGeom prst="rect">
                            <a:avLst/>
                          </a:prstGeom>
                          <a:noFill/>
                          <a:ln>
                            <a:noFill/>
                          </a:ln>
                        </pic:spPr>
                      </pic:pic>
                    </a:graphicData>
                  </a:graphic>
                </wp:inline>
              </w:drawing>
            </w:r>
          </w:p>
        </w:tc>
      </w:tr>
      <w:tr w:rsidR="00660EFD" w:rsidRPr="008F058E" w:rsidTr="00375E44">
        <w:trPr>
          <w:trHeight w:val="567"/>
          <w:jc w:val="center"/>
        </w:trPr>
        <w:tc>
          <w:tcPr>
            <w:tcW w:w="6940" w:type="dxa"/>
            <w:vMerge/>
            <w:tcBorders>
              <w:right w:val="single" w:sz="4" w:space="0" w:color="auto"/>
            </w:tcBorders>
          </w:tcPr>
          <w:p w:rsidR="00660EFD" w:rsidRPr="008F058E" w:rsidRDefault="00660EFD" w:rsidP="00BD16CD">
            <w:pPr>
              <w:tabs>
                <w:tab w:val="left" w:pos="-108"/>
              </w:tabs>
              <w:rPr>
                <w:rFonts w:cs="Arial"/>
                <w:szCs w:val="18"/>
              </w:rPr>
            </w:pPr>
          </w:p>
        </w:tc>
        <w:tc>
          <w:tcPr>
            <w:tcW w:w="1842" w:type="dxa"/>
            <w:tcBorders>
              <w:left w:val="single" w:sz="4" w:space="0" w:color="auto"/>
              <w:bottom w:val="nil"/>
              <w:right w:val="single" w:sz="4" w:space="0" w:color="auto"/>
            </w:tcBorders>
          </w:tcPr>
          <w:p w:rsidR="00660EFD" w:rsidRPr="008F058E" w:rsidRDefault="00660EFD" w:rsidP="00BD16CD">
            <w:pPr>
              <w:spacing w:line="140" w:lineRule="atLeast"/>
              <w:jc w:val="right"/>
              <w:rPr>
                <w:rFonts w:cs="Arial"/>
                <w:szCs w:val="18"/>
              </w:rPr>
            </w:pPr>
            <w:r w:rsidRPr="008F058E">
              <w:rPr>
                <w:rFonts w:cs="Arial"/>
                <w:szCs w:val="18"/>
              </w:rPr>
              <w:t>The Italian Association</w:t>
            </w:r>
          </w:p>
          <w:p w:rsidR="00660EFD" w:rsidRPr="008F058E" w:rsidRDefault="00660EFD" w:rsidP="00BD16CD">
            <w:pPr>
              <w:spacing w:line="140" w:lineRule="atLeast"/>
              <w:jc w:val="right"/>
              <w:rPr>
                <w:rFonts w:cs="Arial"/>
                <w:szCs w:val="18"/>
              </w:rPr>
            </w:pPr>
            <w:r w:rsidRPr="008F058E">
              <w:rPr>
                <w:rFonts w:cs="Arial"/>
                <w:szCs w:val="18"/>
              </w:rPr>
              <w:t>of Chemical Engineering</w:t>
            </w:r>
          </w:p>
          <w:p w:rsidR="00660EFD" w:rsidRPr="008F058E" w:rsidRDefault="00660EFD" w:rsidP="00BD16CD">
            <w:pPr>
              <w:spacing w:line="140" w:lineRule="atLeast"/>
              <w:jc w:val="right"/>
              <w:rPr>
                <w:rFonts w:cs="Arial"/>
                <w:szCs w:val="18"/>
              </w:rPr>
            </w:pPr>
            <w:r w:rsidRPr="008F058E">
              <w:rPr>
                <w:rFonts w:cs="Arial"/>
                <w:szCs w:val="18"/>
              </w:rPr>
              <w:t>Online at www.cetjournal.it</w:t>
            </w:r>
          </w:p>
        </w:tc>
      </w:tr>
      <w:tr w:rsidR="00660EFD" w:rsidRPr="008F058E" w:rsidTr="00375E44">
        <w:trPr>
          <w:trHeight w:val="68"/>
          <w:jc w:val="center"/>
        </w:trPr>
        <w:tc>
          <w:tcPr>
            <w:tcW w:w="8782" w:type="dxa"/>
            <w:gridSpan w:val="2"/>
          </w:tcPr>
          <w:p w:rsidR="00660EFD" w:rsidRPr="008F058E" w:rsidRDefault="00660EFD" w:rsidP="00BD16CD">
            <w:pPr>
              <w:ind w:left="-107"/>
              <w:outlineLvl w:val="2"/>
              <w:rPr>
                <w:rFonts w:cs="Arial"/>
                <w:color w:val="000000"/>
                <w:szCs w:val="18"/>
                <w:shd w:val="clear" w:color="auto" w:fill="FFFFFF"/>
                <w:lang w:val="it-IT"/>
              </w:rPr>
            </w:pPr>
            <w:r w:rsidRPr="008F058E">
              <w:rPr>
                <w:rFonts w:cs="Arial"/>
                <w:iCs/>
                <w:color w:val="333333"/>
                <w:szCs w:val="18"/>
                <w:lang w:val="it-IT" w:eastAsia="it-IT"/>
              </w:rPr>
              <w:t>Guest Editors:</w:t>
            </w:r>
            <w:r w:rsidRPr="008F058E">
              <w:rPr>
                <w:rFonts w:cs="Arial"/>
                <w:color w:val="000000"/>
                <w:szCs w:val="18"/>
                <w:shd w:val="clear" w:color="auto" w:fill="FFFFFF"/>
                <w:lang w:val="it-IT"/>
              </w:rPr>
              <w:t xml:space="preserve"> Flavio Manenti, Botir Usmonov, Alessandro Di Pretoro</w:t>
            </w:r>
          </w:p>
          <w:p w:rsidR="00660EFD" w:rsidRPr="008F058E" w:rsidRDefault="00660EFD" w:rsidP="00BD16CD">
            <w:pPr>
              <w:tabs>
                <w:tab w:val="left" w:pos="-108"/>
              </w:tabs>
              <w:spacing w:line="140" w:lineRule="atLeast"/>
              <w:ind w:left="-107"/>
              <w:jc w:val="left"/>
              <w:rPr>
                <w:rFonts w:cs="Arial"/>
                <w:szCs w:val="18"/>
              </w:rPr>
            </w:pPr>
            <w:r w:rsidRPr="008F058E">
              <w:rPr>
                <w:rFonts w:cs="Arial"/>
                <w:iCs/>
                <w:color w:val="333333"/>
                <w:szCs w:val="18"/>
                <w:lang w:eastAsia="it-IT"/>
              </w:rPr>
              <w:t>Copyright © 2026, AIDIC Servizi S.r.l.</w:t>
            </w:r>
            <w:r w:rsidRPr="008F058E">
              <w:rPr>
                <w:rFonts w:cs="Arial"/>
                <w:iCs/>
                <w:color w:val="333333"/>
                <w:szCs w:val="18"/>
                <w:lang w:eastAsia="it-IT"/>
              </w:rPr>
              <w:br/>
            </w:r>
            <w:r w:rsidRPr="008F058E">
              <w:rPr>
                <w:rFonts w:cs="Arial"/>
                <w:b/>
                <w:iCs/>
                <w:color w:val="000000"/>
                <w:szCs w:val="18"/>
                <w:lang w:eastAsia="it-IT"/>
              </w:rPr>
              <w:t>ISBN</w:t>
            </w:r>
            <w:r w:rsidRPr="008F058E">
              <w:rPr>
                <w:rFonts w:cs="Arial"/>
                <w:iCs/>
                <w:color w:val="000000"/>
                <w:szCs w:val="18"/>
                <w:lang w:eastAsia="it-IT"/>
              </w:rPr>
              <w:t xml:space="preserve"> </w:t>
            </w:r>
            <w:r w:rsidRPr="008F058E">
              <w:rPr>
                <w:rFonts w:cs="Arial"/>
                <w:szCs w:val="18"/>
              </w:rPr>
              <w:t>979-12-81206-xx-x</w:t>
            </w:r>
            <w:r w:rsidRPr="008F058E">
              <w:rPr>
                <w:rFonts w:cs="Arial"/>
                <w:iCs/>
                <w:color w:val="333333"/>
                <w:szCs w:val="18"/>
                <w:lang w:eastAsia="it-IT"/>
              </w:rPr>
              <w:t xml:space="preserve">; </w:t>
            </w:r>
            <w:r w:rsidRPr="008F058E">
              <w:rPr>
                <w:rFonts w:cs="Arial"/>
                <w:b/>
                <w:iCs/>
                <w:color w:val="333333"/>
                <w:szCs w:val="18"/>
                <w:lang w:eastAsia="it-IT"/>
              </w:rPr>
              <w:t>ISSN</w:t>
            </w:r>
            <w:r w:rsidRPr="008F058E">
              <w:rPr>
                <w:rFonts w:cs="Arial"/>
                <w:iCs/>
                <w:color w:val="333333"/>
                <w:szCs w:val="18"/>
                <w:lang w:eastAsia="it-IT"/>
              </w:rPr>
              <w:t xml:space="preserve"> 2283-9216</w:t>
            </w:r>
          </w:p>
        </w:tc>
      </w:tr>
    </w:tbl>
    <w:bookmarkEnd w:id="0"/>
    <w:p w:rsidR="00E978D0" w:rsidRPr="008F058E" w:rsidRDefault="00F4619E" w:rsidP="00E978D0">
      <w:pPr>
        <w:pStyle w:val="CETTitle"/>
        <w:rPr>
          <w:rFonts w:cs="Arial"/>
          <w:bCs/>
          <w:sz w:val="18"/>
          <w:szCs w:val="18"/>
        </w:rPr>
      </w:pPr>
      <w:r w:rsidRPr="008F058E">
        <w:rPr>
          <w:rFonts w:cs="Arial"/>
          <w:bCs/>
          <w:sz w:val="18"/>
          <w:szCs w:val="18"/>
        </w:rPr>
        <w:t xml:space="preserve">Assessment of the Pharmacological Activity of a Stomatological Filling Composite Based on </w:t>
      </w:r>
      <w:r w:rsidR="006B37CD">
        <w:rPr>
          <w:rFonts w:cs="Arial"/>
          <w:bCs/>
          <w:sz w:val="18"/>
          <w:szCs w:val="18"/>
        </w:rPr>
        <w:t>T</w:t>
      </w:r>
      <w:r w:rsidR="006B37CD" w:rsidRPr="006B37CD">
        <w:rPr>
          <w:rFonts w:cs="Arial"/>
          <w:sz w:val="18"/>
          <w:szCs w:val="18"/>
        </w:rPr>
        <w:t>ar</w:t>
      </w:r>
      <w:bookmarkStart w:id="1" w:name="_GoBack"/>
      <w:bookmarkEnd w:id="1"/>
      <w:r w:rsidR="006B37CD" w:rsidRPr="006B37CD">
        <w:rPr>
          <w:rFonts w:cs="Arial"/>
          <w:sz w:val="18"/>
          <w:szCs w:val="18"/>
        </w:rPr>
        <w:t>taric</w:t>
      </w:r>
      <w:r w:rsidRPr="008F058E">
        <w:rPr>
          <w:rFonts w:cs="Arial"/>
          <w:bCs/>
          <w:sz w:val="18"/>
          <w:szCs w:val="18"/>
        </w:rPr>
        <w:t xml:space="preserve"> and (Met) Acrylic Acid</w:t>
      </w:r>
      <w:r w:rsidR="00600535" w:rsidRPr="008F058E">
        <w:rPr>
          <w:rFonts w:cs="Arial"/>
          <w:bCs/>
          <w:sz w:val="18"/>
          <w:szCs w:val="18"/>
        </w:rPr>
        <w:t xml:space="preserve"> </w:t>
      </w:r>
    </w:p>
    <w:p w:rsidR="00986319" w:rsidRPr="008F058E" w:rsidRDefault="00375E44" w:rsidP="00B57E6F">
      <w:pPr>
        <w:pStyle w:val="CETAuthors"/>
        <w:rPr>
          <w:rFonts w:cs="Arial"/>
          <w:sz w:val="18"/>
          <w:szCs w:val="18"/>
        </w:rPr>
      </w:pPr>
      <w:r w:rsidRPr="008F058E">
        <w:rPr>
          <w:rFonts w:cs="Arial"/>
          <w:bCs/>
          <w:sz w:val="18"/>
          <w:szCs w:val="18"/>
          <w:lang w:val="uz-Cyrl-UZ"/>
        </w:rPr>
        <w:t>Nigora</w:t>
      </w:r>
      <w:r w:rsidRPr="008F058E">
        <w:rPr>
          <w:rFonts w:cs="Arial"/>
          <w:bCs/>
          <w:sz w:val="18"/>
          <w:szCs w:val="18"/>
        </w:rPr>
        <w:t xml:space="preserve"> S.</w:t>
      </w:r>
      <w:r w:rsidRPr="008F058E">
        <w:rPr>
          <w:rFonts w:cs="Arial"/>
          <w:bCs/>
          <w:sz w:val="18"/>
          <w:szCs w:val="18"/>
          <w:lang w:val="uz-Cyrl-UZ"/>
        </w:rPr>
        <w:t xml:space="preserve"> Matkarimova</w:t>
      </w:r>
      <w:r w:rsidRPr="008F058E">
        <w:rPr>
          <w:rFonts w:cs="Arial"/>
          <w:bCs/>
          <w:sz w:val="18"/>
          <w:szCs w:val="18"/>
          <w:vertAlign w:val="superscript"/>
        </w:rPr>
        <w:t>a*</w:t>
      </w:r>
      <w:r w:rsidRPr="008F058E">
        <w:rPr>
          <w:rFonts w:cs="Arial"/>
          <w:sz w:val="18"/>
          <w:szCs w:val="18"/>
        </w:rPr>
        <w:t xml:space="preserve">, </w:t>
      </w:r>
      <w:r w:rsidR="00986319" w:rsidRPr="008F058E">
        <w:rPr>
          <w:rFonts w:cs="Arial"/>
          <w:sz w:val="18"/>
          <w:szCs w:val="18"/>
        </w:rPr>
        <w:t>Shakhnoza A. Tadjieva</w:t>
      </w:r>
      <w:r w:rsidRPr="008F058E">
        <w:rPr>
          <w:rFonts w:cs="Arial"/>
          <w:sz w:val="18"/>
          <w:szCs w:val="18"/>
          <w:vertAlign w:val="superscript"/>
        </w:rPr>
        <w:t>a</w:t>
      </w:r>
      <w:r w:rsidR="00986319" w:rsidRPr="008F058E">
        <w:rPr>
          <w:rFonts w:cs="Arial"/>
          <w:sz w:val="18"/>
          <w:szCs w:val="18"/>
        </w:rPr>
        <w:t>, Aytura S. Maksumova</w:t>
      </w:r>
      <w:r w:rsidRPr="008F058E">
        <w:rPr>
          <w:rFonts w:cs="Arial"/>
          <w:sz w:val="18"/>
          <w:szCs w:val="18"/>
          <w:vertAlign w:val="superscript"/>
        </w:rPr>
        <w:t>a</w:t>
      </w:r>
      <w:r w:rsidR="00986319" w:rsidRPr="008F058E">
        <w:rPr>
          <w:rFonts w:cs="Arial"/>
          <w:sz w:val="18"/>
          <w:szCs w:val="18"/>
        </w:rPr>
        <w:t xml:space="preserve"> </w:t>
      </w:r>
    </w:p>
    <w:p w:rsidR="00A21372" w:rsidRPr="008F058E" w:rsidRDefault="00A21372" w:rsidP="00A21372">
      <w:pPr>
        <w:pStyle w:val="CETAddress"/>
        <w:rPr>
          <w:rFonts w:cs="Arial"/>
          <w:sz w:val="18"/>
          <w:szCs w:val="18"/>
        </w:rPr>
      </w:pPr>
      <w:r w:rsidRPr="008F058E">
        <w:rPr>
          <w:rFonts w:cs="Arial"/>
          <w:sz w:val="18"/>
          <w:szCs w:val="18"/>
          <w:vertAlign w:val="superscript"/>
        </w:rPr>
        <w:t>a</w:t>
      </w:r>
      <w:r w:rsidRPr="008F058E">
        <w:rPr>
          <w:rFonts w:cs="Arial"/>
          <w:sz w:val="18"/>
          <w:szCs w:val="18"/>
          <w:lang w:val="uz-Cyrl-UZ"/>
        </w:rPr>
        <w:t>Tashkent Institute of Chemical Technology</w:t>
      </w:r>
      <w:r w:rsidRPr="008F058E">
        <w:rPr>
          <w:rFonts w:cs="Arial"/>
          <w:sz w:val="18"/>
          <w:szCs w:val="18"/>
        </w:rPr>
        <w:t xml:space="preserve">, </w:t>
      </w:r>
      <w:r w:rsidRPr="008F058E">
        <w:rPr>
          <w:rStyle w:val="CETAddressCarattere"/>
          <w:rFonts w:cs="Arial"/>
          <w:sz w:val="18"/>
          <w:szCs w:val="18"/>
        </w:rPr>
        <w:t>Tashkent</w:t>
      </w:r>
      <w:r w:rsidRPr="008F058E">
        <w:rPr>
          <w:rFonts w:cs="Arial"/>
          <w:sz w:val="18"/>
          <w:szCs w:val="18"/>
        </w:rPr>
        <w:t>, Uzbekistan</w:t>
      </w:r>
    </w:p>
    <w:p w:rsidR="00375E44" w:rsidRPr="008F058E" w:rsidRDefault="008C2436" w:rsidP="00375E44">
      <w:pPr>
        <w:pStyle w:val="CETAddress"/>
        <w:rPr>
          <w:rFonts w:cs="Arial"/>
          <w:sz w:val="18"/>
          <w:szCs w:val="18"/>
        </w:rPr>
      </w:pPr>
      <w:hyperlink r:id="rId10" w:history="1">
        <w:r w:rsidR="00375E44" w:rsidRPr="008F058E">
          <w:rPr>
            <w:rStyle w:val="afffd"/>
            <w:rFonts w:cs="Arial"/>
            <w:color w:val="auto"/>
            <w:sz w:val="18"/>
            <w:szCs w:val="18"/>
            <w:u w:val="none"/>
          </w:rPr>
          <w:t>nigoramatkarimova9@gmail.com</w:t>
        </w:r>
      </w:hyperlink>
    </w:p>
    <w:p w:rsidR="00A21372" w:rsidRPr="008F058E" w:rsidRDefault="00A21372" w:rsidP="00A21372">
      <w:pPr>
        <w:pStyle w:val="CETAddress"/>
        <w:rPr>
          <w:rFonts w:cs="Arial"/>
          <w:sz w:val="18"/>
          <w:szCs w:val="18"/>
        </w:rPr>
      </w:pPr>
    </w:p>
    <w:p w:rsidR="00A21372" w:rsidRPr="008F058E" w:rsidRDefault="00375E44" w:rsidP="0004123D">
      <w:pPr>
        <w:pStyle w:val="CETBodytext"/>
        <w:rPr>
          <w:rFonts w:cs="Arial"/>
          <w:szCs w:val="18"/>
        </w:rPr>
      </w:pPr>
      <w:r w:rsidRPr="008F058E">
        <w:rPr>
          <w:rFonts w:cs="Arial"/>
          <w:szCs w:val="18"/>
        </w:rPr>
        <w:t>A novel bio-based ester monomer derived from tartaric and acrylic acids was synthesised and applied as an organic matrix for an inorganic-filled dental composite. The aim of this work was to evaluate the toxicological safety and oral mucosal compatibility of the developed material. The esterification reaction at 80 ± 2 °C and a 2:1 molar ratio yielded the diacrylic tartaric ester with a conversion of 86 %. Structural confirmation was obtained by HPLC and FTIR analysis. Acute oral toxicity was investigated in white mice at doses of 500–5,000 mg/kg using the Litchfield–Wilcoxon method. Transient respiratory discomfort was observed at 1,000–1,500 mg/kg without mortality, while the first lethal dose occurred at 3,000 mg/kg and 100 % mortality at 5,000 mg/kg. The calculated LD</w:t>
      </w:r>
      <w:r w:rsidRPr="008F058E">
        <w:rPr>
          <w:rFonts w:ascii="Cambria Math" w:hAnsi="Cambria Math" w:cs="Cambria Math"/>
          <w:szCs w:val="18"/>
        </w:rPr>
        <w:t>₅₀</w:t>
      </w:r>
      <w:r w:rsidRPr="008F058E">
        <w:rPr>
          <w:rFonts w:cs="Arial"/>
          <w:szCs w:val="18"/>
        </w:rPr>
        <w:t xml:space="preserve"> was 3,720 mg/kg, corresponding to hazard class IV. Local irritation of the oral mucosa was evaluated in rabbits by direct contact with composite samples (0.1–0.3 g). No erythema or oedema were observed and survival was 100 %. The obtained results demonstrate low acute toxicity and high biological safety, indicating that the synthesised ester is a promising matrix component for dental composite materials.</w:t>
      </w:r>
    </w:p>
    <w:p w:rsidR="00A21372" w:rsidRPr="008F058E" w:rsidRDefault="00660EFD" w:rsidP="001C0519">
      <w:pPr>
        <w:pStyle w:val="CETHeading1"/>
        <w:rPr>
          <w:rFonts w:cs="Arial"/>
          <w:sz w:val="18"/>
          <w:szCs w:val="18"/>
        </w:rPr>
      </w:pPr>
      <w:r w:rsidRPr="008F058E">
        <w:rPr>
          <w:rFonts w:cs="Arial"/>
          <w:sz w:val="18"/>
          <w:szCs w:val="18"/>
        </w:rPr>
        <w:t>Introduction</w:t>
      </w:r>
    </w:p>
    <w:p w:rsidR="00DA24C6" w:rsidRPr="008F058E" w:rsidRDefault="00375E44" w:rsidP="00375E44">
      <w:pPr>
        <w:pStyle w:val="CETListbullets"/>
        <w:ind w:left="0" w:firstLine="708"/>
        <w:rPr>
          <w:rFonts w:cs="Arial"/>
          <w:szCs w:val="18"/>
          <w:shd w:val="clear" w:color="auto" w:fill="FFFFFF"/>
        </w:rPr>
      </w:pPr>
      <w:r w:rsidRPr="008F058E">
        <w:rPr>
          <w:rFonts w:cs="Arial"/>
          <w:szCs w:val="18"/>
          <w:lang w:val="uz-Cyrl-UZ"/>
        </w:rPr>
        <w:t xml:space="preserve">Dental composite fillings are the most common biomaterials for the aesthetic restoration of shape and function of teeth affected by caries, erosion or fracture. </w:t>
      </w:r>
      <w:r w:rsidRPr="008F058E">
        <w:rPr>
          <w:rFonts w:cs="Arial"/>
          <w:szCs w:val="18"/>
          <w:lang w:val="en-US"/>
        </w:rPr>
        <w:t>In cases where the polymerization process is not fully completed, residual monomers that can be separated from the composite can interact with the living tissues of the oral cavity, which can cause side effects (Krifka et al., 2013)</w:t>
      </w:r>
      <w:r w:rsidR="00A21372" w:rsidRPr="008F058E">
        <w:rPr>
          <w:rFonts w:cs="Arial"/>
          <w:szCs w:val="18"/>
          <w:shd w:val="clear" w:color="auto" w:fill="FFFFFF"/>
        </w:rPr>
        <w:t>.</w:t>
      </w:r>
    </w:p>
    <w:p w:rsidR="00375E44" w:rsidRPr="008F058E" w:rsidRDefault="00375E44" w:rsidP="00375E44">
      <w:pPr>
        <w:spacing w:line="240" w:lineRule="auto"/>
        <w:rPr>
          <w:rFonts w:cs="Arial"/>
          <w:color w:val="000000"/>
          <w:szCs w:val="18"/>
          <w:lang w:val="uz-Cyrl-UZ"/>
        </w:rPr>
      </w:pPr>
      <w:r w:rsidRPr="008F058E">
        <w:rPr>
          <w:rFonts w:cs="Arial"/>
          <w:szCs w:val="18"/>
          <w:lang w:val="en-US"/>
        </w:rPr>
        <w:t>In the field of dentistry, materials such as monomer-based composites, polymer resins, and implants are widely used. Their clinical efficacy is directly linked not only to physicochemical properties but also to biological safety and toxicological stability.</w:t>
      </w:r>
      <w:r w:rsidRPr="008F058E">
        <w:rPr>
          <w:rFonts w:cs="Arial"/>
          <w:szCs w:val="18"/>
          <w:lang w:val="uz-Cyrl-UZ"/>
        </w:rPr>
        <w:t xml:space="preserve"> </w:t>
      </w:r>
      <w:r w:rsidRPr="008F058E">
        <w:rPr>
          <w:rFonts w:cs="Arial"/>
          <w:szCs w:val="18"/>
          <w:lang w:val="en-US"/>
        </w:rPr>
        <w:t>Scientific data indicate that dental materials can cause various toxic reactions affecting both the local and the entire body.</w:t>
      </w:r>
      <w:r w:rsidRPr="008F058E">
        <w:rPr>
          <w:rFonts w:cs="Arial"/>
          <w:szCs w:val="18"/>
          <w:lang w:val="uz-Cyrl-UZ"/>
        </w:rPr>
        <w:t xml:space="preserve"> </w:t>
      </w:r>
      <w:r w:rsidRPr="008F058E">
        <w:rPr>
          <w:rFonts w:cs="Arial"/>
          <w:color w:val="000000"/>
          <w:szCs w:val="18"/>
          <w:lang w:val="uz-Cyrl-UZ"/>
        </w:rPr>
        <w:t>Their prolonged storage in the oral cavity increases the likelihood of unfavorable biological reactions in some cases (Shahi et al., 2019).</w:t>
      </w:r>
    </w:p>
    <w:p w:rsidR="00CB1A1D" w:rsidRPr="008F058E" w:rsidRDefault="00CB1A1D" w:rsidP="00CB1A1D">
      <w:pPr>
        <w:pStyle w:val="leading-8"/>
        <w:spacing w:before="0" w:beforeAutospacing="0" w:after="0" w:afterAutospacing="0"/>
        <w:ind w:firstLine="708"/>
        <w:jc w:val="both"/>
        <w:rPr>
          <w:rFonts w:ascii="Arial" w:hAnsi="Arial" w:cs="Arial"/>
          <w:sz w:val="18"/>
          <w:szCs w:val="18"/>
          <w:lang w:val="en-US"/>
        </w:rPr>
      </w:pPr>
      <w:r w:rsidRPr="008F058E">
        <w:rPr>
          <w:rFonts w:ascii="Arial" w:hAnsi="Arial" w:cs="Arial"/>
          <w:sz w:val="18"/>
          <w:szCs w:val="18"/>
          <w:lang w:val="en-US"/>
        </w:rPr>
        <w:t>Biocompatibility refers to the ability of a material to produce an appropriate biological response for its intended application. For dental restorative materials, evaluation of biocompatibility is particularly important because the materials are in direct or prolonged contact with oral tissues (Williams, 1999; Kirkpatrick et al., 1998; Black, 2005).</w:t>
      </w:r>
    </w:p>
    <w:p w:rsidR="00664C40" w:rsidRPr="008F058E" w:rsidRDefault="00664C40" w:rsidP="00375E44">
      <w:pPr>
        <w:spacing w:line="240" w:lineRule="auto"/>
        <w:ind w:firstLine="708"/>
        <w:rPr>
          <w:rFonts w:cs="Arial"/>
          <w:szCs w:val="18"/>
        </w:rPr>
      </w:pPr>
      <w:r w:rsidRPr="008F058E">
        <w:rPr>
          <w:rFonts w:cs="Arial"/>
          <w:szCs w:val="18"/>
        </w:rPr>
        <w:t>Dental restorative materials may cause adverse biological reactions, particularly when residual monomers or allergenic components are released into surrounding tissues. Such effects highlight the importance of evaluating the biological safety of new monomer systems intended for dental applications (Scott et al., 2004; Mjör, 1992).</w:t>
      </w:r>
    </w:p>
    <w:p w:rsidR="003D4E97" w:rsidRPr="008F058E" w:rsidRDefault="00527F9A" w:rsidP="00B00E46">
      <w:pPr>
        <w:tabs>
          <w:tab w:val="clear" w:pos="7100"/>
        </w:tabs>
        <w:spacing w:line="240" w:lineRule="auto"/>
        <w:rPr>
          <w:rFonts w:cs="Arial"/>
          <w:color w:val="000000"/>
          <w:szCs w:val="18"/>
          <w:lang w:val="en-US"/>
        </w:rPr>
      </w:pPr>
      <w:r w:rsidRPr="008F058E">
        <w:rPr>
          <w:rFonts w:cs="Arial"/>
          <w:szCs w:val="18"/>
        </w:rPr>
        <w:tab/>
      </w:r>
      <w:r w:rsidR="008F058E" w:rsidRPr="008F058E">
        <w:rPr>
          <w:rFonts w:cs="Arial"/>
          <w:szCs w:val="18"/>
          <w:lang w:val="en-US" w:eastAsia="ru-RU"/>
        </w:rPr>
        <w:t>It has been previously demonstrated that the biological performance of dental composites can be improved by incorporating antibacterial and bioactive components. Bioactive glass, calcium phosphate, quaternary ammonium methacrylates and silver nanoparticles have been studied to improve antibacterial activity, promote mineralization and to minimize risk of secondary caries (Chatzistavrou et al., 2015; Zhang et al., 2017; Imazato, 2003; Cheng et al., 2012). However, these methods are mainly aimed at modifying the filler phase or adding antibacterial components, and the research on bio-based polymerizable monomers with biological safety as the research direction is still an important research direction.</w:t>
      </w:r>
      <w:r w:rsidR="008F058E">
        <w:rPr>
          <w:rFonts w:cs="Arial"/>
          <w:szCs w:val="18"/>
          <w:lang w:val="en-US" w:eastAsia="ru-RU"/>
        </w:rPr>
        <w:t xml:space="preserve"> </w:t>
      </w:r>
    </w:p>
    <w:p w:rsidR="00B468CB" w:rsidRPr="008F058E" w:rsidRDefault="003D4E97" w:rsidP="00B00E46">
      <w:pPr>
        <w:pStyle w:val="aff1"/>
        <w:rPr>
          <w:rFonts w:cs="Arial"/>
          <w:sz w:val="18"/>
          <w:szCs w:val="18"/>
          <w:lang w:val="en-US" w:eastAsia="ru-RU"/>
        </w:rPr>
      </w:pPr>
      <w:r w:rsidRPr="008F058E">
        <w:rPr>
          <w:rFonts w:cs="Arial"/>
          <w:color w:val="000000"/>
          <w:sz w:val="18"/>
          <w:szCs w:val="18"/>
          <w:lang w:val="en-US"/>
        </w:rPr>
        <w:tab/>
      </w:r>
      <w:r w:rsidR="00B468CB" w:rsidRPr="008F058E">
        <w:rPr>
          <w:rFonts w:cs="Arial"/>
          <w:sz w:val="18"/>
          <w:szCs w:val="18"/>
          <w:lang w:val="en-US" w:eastAsia="ru-RU"/>
        </w:rPr>
        <w:t xml:space="preserve">The development of polymer systems with low toxicity and good compatibility with oral tissues is an important objective in the development of safer dental restorative materials. In particular, the use of bio-based monomers </w:t>
      </w:r>
      <w:r w:rsidR="00B468CB" w:rsidRPr="008F058E">
        <w:rPr>
          <w:rFonts w:cs="Arial"/>
          <w:sz w:val="18"/>
          <w:szCs w:val="18"/>
          <w:lang w:val="en-US" w:eastAsia="ru-RU"/>
        </w:rPr>
        <w:lastRenderedPageBreak/>
        <w:t>may provide an alternative approach to conventional resin systems while reducing concerns associated with residual monomers.</w:t>
      </w:r>
    </w:p>
    <w:p w:rsidR="00B468CB" w:rsidRPr="008F058E" w:rsidRDefault="00B468CB" w:rsidP="00B00E46">
      <w:pPr>
        <w:tabs>
          <w:tab w:val="clear" w:pos="7100"/>
        </w:tabs>
        <w:spacing w:line="240" w:lineRule="auto"/>
        <w:rPr>
          <w:rFonts w:cs="Arial"/>
          <w:szCs w:val="18"/>
          <w:lang w:val="en-US" w:eastAsia="ru-RU"/>
        </w:rPr>
      </w:pPr>
      <w:r w:rsidRPr="008F058E">
        <w:rPr>
          <w:rFonts w:cs="Arial"/>
          <w:szCs w:val="18"/>
          <w:lang w:val="en-US" w:eastAsia="ru-RU"/>
        </w:rPr>
        <w:tab/>
        <w:t>Tartaric acid is a renewable multifunctional organic acid that can be used as a starting material for the synthesis of ester-based polymerizable compounds. Its combination with acrylic acid provides an opportunity to obtain a multifunctional ester containing polymerizable double bonds. However, the biological safety of tartaric-acrylic ester systems intended for dental composite applications has not been sufficiently investigated.</w:t>
      </w:r>
    </w:p>
    <w:p w:rsidR="00B468CB" w:rsidRPr="008F058E" w:rsidRDefault="00B468CB" w:rsidP="00B00E46">
      <w:pPr>
        <w:tabs>
          <w:tab w:val="clear" w:pos="7100"/>
        </w:tabs>
        <w:spacing w:line="240" w:lineRule="auto"/>
        <w:rPr>
          <w:rFonts w:cs="Arial"/>
          <w:szCs w:val="18"/>
          <w:lang w:val="en-US" w:eastAsia="ru-RU"/>
        </w:rPr>
      </w:pPr>
      <w:r w:rsidRPr="008F058E">
        <w:rPr>
          <w:rFonts w:cs="Arial"/>
          <w:szCs w:val="18"/>
          <w:lang w:val="en-US" w:eastAsia="ru-RU"/>
        </w:rPr>
        <w:t>Therefore, the present study focuses on the synthesis and preliminary biological evaluation of a tartaric-acrylic ester (DAVE) as a potential organic matrix component for dental composite materials. The aim of this work was to synthesize DAVE, characterize the obtained product, and evaluate its acute oral toxicity and local irritant effect on oral mucosa. The study provides preliminary information on the biological safety of the proposed bio-based monomer and its potential for further development as a dental composite matrix.</w:t>
      </w:r>
    </w:p>
    <w:p w:rsidR="001C0519" w:rsidRPr="008F058E" w:rsidRDefault="00375E44" w:rsidP="001C0519">
      <w:pPr>
        <w:pStyle w:val="CETHeading1"/>
        <w:rPr>
          <w:rFonts w:cs="Arial"/>
          <w:bCs/>
          <w:sz w:val="18"/>
          <w:szCs w:val="18"/>
        </w:rPr>
      </w:pPr>
      <w:bookmarkStart w:id="2" w:name="_Hlk191901473"/>
      <w:r w:rsidRPr="008F058E">
        <w:rPr>
          <w:rFonts w:cs="Arial"/>
          <w:bCs/>
          <w:color w:val="000000"/>
          <w:sz w:val="18"/>
          <w:szCs w:val="18"/>
          <w:lang w:val="en-US"/>
        </w:rPr>
        <w:t>Methods</w:t>
      </w:r>
    </w:p>
    <w:p w:rsidR="0036733A" w:rsidRPr="008F058E" w:rsidRDefault="000636C5" w:rsidP="009F5BAC">
      <w:pPr>
        <w:pStyle w:val="CETheadingx"/>
      </w:pPr>
      <w:r w:rsidRPr="008F058E">
        <w:t>Synthesis of diacrylic tartaric ester</w:t>
      </w:r>
      <w:r w:rsidR="0036733A" w:rsidRPr="008F058E">
        <w:t xml:space="preserve"> </w:t>
      </w:r>
    </w:p>
    <w:p w:rsidR="004C6440" w:rsidRPr="008F058E" w:rsidRDefault="000636C5" w:rsidP="008F058E">
      <w:pPr>
        <w:tabs>
          <w:tab w:val="clear" w:pos="7100"/>
        </w:tabs>
        <w:spacing w:line="240" w:lineRule="auto"/>
        <w:rPr>
          <w:rFonts w:cs="Arial"/>
          <w:szCs w:val="18"/>
          <w:lang w:val="en-US" w:eastAsia="ru-RU"/>
        </w:rPr>
      </w:pPr>
      <w:r w:rsidRPr="008F058E">
        <w:rPr>
          <w:rFonts w:cs="Arial"/>
          <w:szCs w:val="18"/>
          <w:lang w:val="en-US" w:eastAsia="ru-RU"/>
        </w:rPr>
        <w:t>Tartaric acid and acrylic acid were used as starting materials and purified by standard laboratory procedures. The esterification reaction was carried out in a 250 mL round bottom flask fitted with a magnetic stirrer, a reflux condenser and a Dean–Stark trap</w:t>
      </w:r>
      <w:r w:rsidRPr="008F058E">
        <w:rPr>
          <w:rFonts w:cs="Arial"/>
          <w:szCs w:val="18"/>
          <w:lang w:val="uz-Cyrl-UZ" w:eastAsia="ru-RU"/>
        </w:rPr>
        <w:t xml:space="preserve">. </w:t>
      </w:r>
      <w:r w:rsidRPr="008F058E">
        <w:rPr>
          <w:rFonts w:cs="Arial"/>
          <w:szCs w:val="18"/>
          <w:lang w:val="en-US" w:eastAsia="ru-RU"/>
        </w:rPr>
        <w:t xml:space="preserve">The reaction mixture containing tartaric and acrylic acids in a 2:1 molar ratio and 10 wt.% catalyst was heated at 80 ± 2 °C under continuous stirring. </w:t>
      </w:r>
      <w:r w:rsidR="004C6440" w:rsidRPr="008F058E">
        <w:rPr>
          <w:rFonts w:cs="Arial"/>
          <w:szCs w:val="18"/>
          <w:lang w:val="en-US" w:eastAsia="ru-RU"/>
        </w:rPr>
        <w:t>The synthesis was repeated three times independently under the same experimental conditions. For each experiment the yield of isolated product was calculated and the yield reported is an average of three independent synthetic experiments.</w:t>
      </w:r>
    </w:p>
    <w:p w:rsidR="001C0519" w:rsidRPr="008F058E" w:rsidRDefault="000636C5" w:rsidP="008F058E">
      <w:pPr>
        <w:pStyle w:val="aff1"/>
        <w:rPr>
          <w:rFonts w:cs="Arial"/>
          <w:sz w:val="18"/>
          <w:szCs w:val="18"/>
          <w:lang w:val="uz-Cyrl-UZ" w:eastAsia="ru-RU"/>
        </w:rPr>
      </w:pPr>
      <w:r w:rsidRPr="008F058E">
        <w:rPr>
          <w:rFonts w:cs="Arial"/>
          <w:sz w:val="18"/>
          <w:szCs w:val="18"/>
          <w:lang w:val="en-US" w:eastAsia="ru-RU"/>
        </w:rPr>
        <w:t>Water formed during the reaction was continuously removed to shift the equilibrium towards ester formation. Hydroquinone was added as a polymerisation inhibitor. After completion, the catalyst was removed by filtration and the obtained diacrylic tartaric ester (DAVE) was purified.</w:t>
      </w:r>
      <w:r w:rsidRPr="008F058E">
        <w:rPr>
          <w:rFonts w:cs="Arial"/>
          <w:sz w:val="18"/>
          <w:szCs w:val="18"/>
          <w:lang w:val="uz-Cyrl-UZ" w:eastAsia="ru-RU"/>
        </w:rPr>
        <w:t xml:space="preserve"> </w:t>
      </w:r>
    </w:p>
    <w:p w:rsidR="004C6440" w:rsidRPr="008F058E" w:rsidRDefault="004C6440" w:rsidP="008F058E">
      <w:pPr>
        <w:pStyle w:val="afffe"/>
        <w:numPr>
          <w:ilvl w:val="0"/>
          <w:numId w:val="1"/>
        </w:numPr>
        <w:tabs>
          <w:tab w:val="clear" w:pos="7100"/>
        </w:tabs>
        <w:spacing w:line="240" w:lineRule="auto"/>
        <w:rPr>
          <w:rFonts w:cs="Arial"/>
          <w:szCs w:val="18"/>
          <w:lang w:val="en-US" w:eastAsia="ru-RU"/>
        </w:rPr>
      </w:pPr>
      <w:r w:rsidRPr="008F058E">
        <w:rPr>
          <w:rFonts w:cs="Arial"/>
          <w:szCs w:val="18"/>
          <w:lang w:val="en-US" w:eastAsia="ru-RU"/>
        </w:rPr>
        <w:t xml:space="preserve">Upon completion the catalyst was removed by filtration and the diacrylic tartaric ester (DAVE) formed was purified. The synthesized DAVE monomer was analyzed by high-performance liquid chromatography (HPLC) on an Agilent 1260 Infinity II chromatograph (USA) with a diode array detector. Chromatographic separation was carried out on a Poroshell 120 EC-C18 column (4 </w:t>
      </w:r>
      <w:r w:rsidRPr="008F058E">
        <w:rPr>
          <w:rFonts w:cs="Arial"/>
          <w:szCs w:val="18"/>
          <w:lang w:val="ru-RU" w:eastAsia="ru-RU"/>
        </w:rPr>
        <w:t>μ</w:t>
      </w:r>
      <w:r w:rsidRPr="008F058E">
        <w:rPr>
          <w:rFonts w:cs="Arial"/>
          <w:szCs w:val="18"/>
          <w:lang w:val="en-US" w:eastAsia="ru-RU"/>
        </w:rPr>
        <w:t>m, 4.6 × 150 mm). The mobile phase was water and acetonitrile (50:50, v/v) and the flow rate was 1 mL/min. Detection was performed at 246 nm with an injection volume of 5 µL. The column temperature was set at 30 °C and the total analysis time was 5 min. The purity of the synthesized product was determined by the integrated area of the chromatographic peak.</w:t>
      </w:r>
    </w:p>
    <w:p w:rsidR="0036733A" w:rsidRPr="008F058E" w:rsidRDefault="004571B8" w:rsidP="004571B8">
      <w:pPr>
        <w:pStyle w:val="CETheadingx"/>
        <w:numPr>
          <w:ilvl w:val="0"/>
          <w:numId w:val="0"/>
        </w:numPr>
        <w:jc w:val="both"/>
      </w:pPr>
      <w:r>
        <w:t xml:space="preserve">2.2 </w:t>
      </w:r>
      <w:r w:rsidR="000636C5" w:rsidRPr="008F058E">
        <w:t>Preparation of dental composite material</w:t>
      </w:r>
      <w:r w:rsidR="0036733A" w:rsidRPr="008F058E">
        <w:t xml:space="preserve"> </w:t>
      </w:r>
    </w:p>
    <w:bookmarkEnd w:id="2"/>
    <w:p w:rsidR="001C0519" w:rsidRPr="008F058E" w:rsidRDefault="000636C5" w:rsidP="008F058E">
      <w:pPr>
        <w:spacing w:line="240" w:lineRule="auto"/>
        <w:ind w:firstLine="567"/>
        <w:rPr>
          <w:rFonts w:cs="Arial"/>
          <w:szCs w:val="18"/>
          <w:lang w:val="uz-Cyrl-UZ" w:eastAsia="ru-RU"/>
        </w:rPr>
      </w:pPr>
      <w:r w:rsidRPr="008F058E">
        <w:rPr>
          <w:rFonts w:cs="Arial"/>
          <w:szCs w:val="18"/>
          <w:lang w:val="en-US" w:eastAsia="ru-RU"/>
        </w:rPr>
        <w:t>The organic matrix consisted of 97–98 wt.% synthesised ester monomer, 1 wt.% photoinitiator and 1–2 wt.% amine activator. The components were mixed under dark conditions until a homogeneous composition was obtained.</w:t>
      </w:r>
      <w:r w:rsidRPr="008F058E">
        <w:rPr>
          <w:rFonts w:cs="Arial"/>
          <w:szCs w:val="18"/>
          <w:lang w:val="uz-Cyrl-UZ" w:eastAsia="ru-RU"/>
        </w:rPr>
        <w:t xml:space="preserve"> </w:t>
      </w:r>
      <w:r w:rsidRPr="008F058E">
        <w:rPr>
          <w:rFonts w:cs="Arial"/>
          <w:szCs w:val="18"/>
          <w:lang w:val="en-US" w:eastAsia="ru-RU"/>
        </w:rPr>
        <w:t>Silane-modified silicon dioxide and barium glass powders were used as inorganic fillers. The composite paste was prepared using an organic matrix/filler ratio of 30/70 wt.%. The mixture was homogenised in a vacuum mixer and placed into 2 mm thick moulds. Polymerisation was performed using a photopolymerisation lamp for 20–40 s on both sides. The cured samples were stored at 37 °C for 24 h prior to testing</w:t>
      </w:r>
      <w:r w:rsidRPr="008F058E">
        <w:rPr>
          <w:rFonts w:cs="Arial"/>
          <w:szCs w:val="18"/>
          <w:lang w:val="uz-Cyrl-UZ" w:eastAsia="ru-RU"/>
        </w:rPr>
        <w:t>.</w:t>
      </w:r>
    </w:p>
    <w:p w:rsidR="000636C5" w:rsidRPr="008F058E" w:rsidRDefault="000636C5" w:rsidP="008F058E">
      <w:pPr>
        <w:spacing w:line="240" w:lineRule="auto"/>
        <w:ind w:firstLine="567"/>
        <w:rPr>
          <w:rFonts w:cs="Arial"/>
          <w:szCs w:val="18"/>
          <w:lang w:val="uz-Cyrl-UZ" w:eastAsia="ru-RU"/>
        </w:rPr>
      </w:pPr>
    </w:p>
    <w:p w:rsidR="000636C5" w:rsidRPr="008F058E" w:rsidRDefault="000636C5" w:rsidP="008F058E">
      <w:pPr>
        <w:tabs>
          <w:tab w:val="clear" w:pos="7100"/>
          <w:tab w:val="right" w:pos="0"/>
        </w:tabs>
        <w:spacing w:line="240" w:lineRule="auto"/>
        <w:rPr>
          <w:rFonts w:eastAsia="TimesNewRomanPSMT" w:cs="Arial"/>
          <w:b/>
          <w:color w:val="000000"/>
          <w:szCs w:val="18"/>
          <w:lang w:val="uz-Cyrl-UZ" w:eastAsia="ru-RU"/>
        </w:rPr>
      </w:pPr>
      <w:r w:rsidRPr="008F058E">
        <w:rPr>
          <w:rFonts w:eastAsia="TimesNewRomanPSMT" w:cs="Arial"/>
          <w:b/>
          <w:color w:val="000000"/>
          <w:szCs w:val="18"/>
          <w:lang w:val="uz-Cyrl-UZ" w:eastAsia="ru-RU"/>
        </w:rPr>
        <w:t xml:space="preserve">2.3 </w:t>
      </w:r>
      <w:r w:rsidRPr="008F058E">
        <w:rPr>
          <w:rFonts w:cs="Arial"/>
          <w:b/>
          <w:szCs w:val="18"/>
        </w:rPr>
        <w:t>Acute toxicity study</w:t>
      </w:r>
    </w:p>
    <w:p w:rsidR="004571B8" w:rsidRDefault="003D4CFF" w:rsidP="008F058E">
      <w:pPr>
        <w:tabs>
          <w:tab w:val="clear" w:pos="7100"/>
        </w:tabs>
        <w:spacing w:line="240" w:lineRule="auto"/>
        <w:rPr>
          <w:rFonts w:cs="Arial"/>
          <w:b/>
          <w:szCs w:val="18"/>
          <w:lang w:val="en-US" w:eastAsia="ru-RU"/>
        </w:rPr>
      </w:pPr>
      <w:r w:rsidRPr="008F058E">
        <w:rPr>
          <w:rFonts w:cs="Arial"/>
          <w:color w:val="FF0000"/>
          <w:szCs w:val="18"/>
          <w:lang w:val="en-US" w:eastAsia="ru-RU"/>
        </w:rPr>
        <w:tab/>
      </w:r>
      <w:r w:rsidR="00CE39E4" w:rsidRPr="008F058E">
        <w:rPr>
          <w:rFonts w:cs="Arial"/>
          <w:szCs w:val="18"/>
          <w:lang w:val="en-US" w:eastAsia="ru-RU"/>
        </w:rPr>
        <w:t>The acute oral toxicity of the synthesized DAVE monomer was assessed in mature female white mice (18–22 g). The animals were divided in dose groups of five animals each. The synthesized compound was given orally by metal gavage probe in 20 % aqueous solution at doses of 500, 1,000, 1,500, 2,000, 2,500, 3,000, 3,500 and 4,000 mg/kg. Animals were monitored for 14 days post-administration.Mortality and clinical signs, such as changes in general behavior, motor activity and respiration, were monitored during the whole observation period. Mortality was recorded for each dose group as the number and percent of animals that died during the observation period. Median lethal dose (LD</w:t>
      </w:r>
      <w:r w:rsidR="00CE39E4" w:rsidRPr="008F058E">
        <w:rPr>
          <w:rFonts w:ascii="Cambria Math" w:hAnsi="Cambria Math" w:cs="Cambria Math"/>
          <w:szCs w:val="18"/>
          <w:lang w:val="en-US" w:eastAsia="ru-RU"/>
        </w:rPr>
        <w:t>₅₀</w:t>
      </w:r>
      <w:r w:rsidR="00CE39E4" w:rsidRPr="008F058E">
        <w:rPr>
          <w:rFonts w:cs="Arial"/>
          <w:szCs w:val="18"/>
          <w:lang w:val="en-US" w:eastAsia="ru-RU"/>
        </w:rPr>
        <w:t>) was estimated by the Litchfield–Wilcoxon method. The interpretation of the toxicological hazard classification was done in accordance with GOST 12.1.007-76 .</w:t>
      </w:r>
      <w:r w:rsidR="00CE39E4" w:rsidRPr="008F058E">
        <w:rPr>
          <w:rFonts w:cs="Arial"/>
          <w:szCs w:val="18"/>
          <w:lang w:val="en-US" w:eastAsia="ru-RU"/>
        </w:rPr>
        <w:br/>
      </w:r>
    </w:p>
    <w:p w:rsidR="00CE39E4" w:rsidRPr="008F058E" w:rsidRDefault="00CE39E4" w:rsidP="008F058E">
      <w:pPr>
        <w:tabs>
          <w:tab w:val="clear" w:pos="7100"/>
        </w:tabs>
        <w:spacing w:line="240" w:lineRule="auto"/>
        <w:rPr>
          <w:rFonts w:cs="Arial"/>
          <w:b/>
          <w:szCs w:val="18"/>
          <w:lang w:val="en-US" w:eastAsia="ru-RU"/>
        </w:rPr>
      </w:pPr>
      <w:r w:rsidRPr="008F058E">
        <w:rPr>
          <w:rFonts w:cs="Arial"/>
          <w:b/>
          <w:szCs w:val="18"/>
          <w:lang w:val="en-US" w:eastAsia="ru-RU"/>
        </w:rPr>
        <w:t xml:space="preserve">2.4 Statistical analysis </w:t>
      </w:r>
    </w:p>
    <w:p w:rsidR="00CE39E4" w:rsidRPr="008F058E" w:rsidRDefault="00CE39E4" w:rsidP="005653A1">
      <w:pPr>
        <w:tabs>
          <w:tab w:val="clear" w:pos="7100"/>
        </w:tabs>
        <w:spacing w:line="240" w:lineRule="auto"/>
        <w:rPr>
          <w:rFonts w:cs="Arial"/>
          <w:szCs w:val="18"/>
          <w:lang w:val="en-US" w:eastAsia="ru-RU"/>
        </w:rPr>
      </w:pPr>
      <w:r w:rsidRPr="008F058E">
        <w:rPr>
          <w:rFonts w:cs="Arial"/>
          <w:szCs w:val="18"/>
          <w:lang w:val="en-US" w:eastAsia="ru-RU"/>
        </w:rPr>
        <w:tab/>
        <w:t>Mortality data were reported as number and percentage of animals that died in each dose group. Mortality at each dose was expressed as n/N and percentage, where n is the number of dead animals and N is the number of animals in the group. The dose-response relationship was evaluated descriptively based on the observed increase in mortality with increasing dose. The LD</w:t>
      </w:r>
      <w:r w:rsidRPr="008F058E">
        <w:rPr>
          <w:rFonts w:ascii="Cambria Math" w:hAnsi="Cambria Math" w:cs="Cambria Math"/>
          <w:szCs w:val="18"/>
          <w:lang w:val="en-US" w:eastAsia="ru-RU"/>
        </w:rPr>
        <w:t>₅₀</w:t>
      </w:r>
      <w:r w:rsidRPr="008F058E">
        <w:rPr>
          <w:rFonts w:cs="Arial"/>
          <w:szCs w:val="18"/>
          <w:lang w:val="en-US" w:eastAsia="ru-RU"/>
        </w:rPr>
        <w:t xml:space="preserve"> was estimated by the Litchfield–Wilcoxon method. The acute toxicity experiment was not designed to compare independent treatment groups but rather to characterize dose-dependent mortality and estimate the LD 50 , and thus statistical significance testing was not performed.</w:t>
      </w:r>
    </w:p>
    <w:p w:rsidR="000636C5" w:rsidRPr="008F058E" w:rsidRDefault="000636C5" w:rsidP="00CE39E4">
      <w:pPr>
        <w:tabs>
          <w:tab w:val="clear" w:pos="7100"/>
        </w:tabs>
        <w:spacing w:line="240" w:lineRule="auto"/>
        <w:rPr>
          <w:rFonts w:cs="Arial"/>
          <w:iCs/>
          <w:color w:val="FF0000"/>
          <w:szCs w:val="18"/>
        </w:rPr>
      </w:pPr>
    </w:p>
    <w:p w:rsidR="001C0519" w:rsidRPr="008F058E" w:rsidRDefault="004571B8" w:rsidP="004571B8">
      <w:pPr>
        <w:pStyle w:val="CETHeading1"/>
        <w:numPr>
          <w:ilvl w:val="0"/>
          <w:numId w:val="0"/>
        </w:numPr>
        <w:rPr>
          <w:rFonts w:cs="Arial"/>
          <w:sz w:val="18"/>
          <w:szCs w:val="18"/>
          <w:lang w:val="en-US"/>
        </w:rPr>
      </w:pPr>
      <w:r>
        <w:rPr>
          <w:rFonts w:cs="Arial"/>
          <w:sz w:val="18"/>
          <w:szCs w:val="18"/>
          <w:lang w:val="en-US"/>
        </w:rPr>
        <w:lastRenderedPageBreak/>
        <w:t xml:space="preserve">3. </w:t>
      </w:r>
      <w:r w:rsidR="001C0519" w:rsidRPr="008F058E">
        <w:rPr>
          <w:rFonts w:cs="Arial"/>
          <w:sz w:val="18"/>
          <w:szCs w:val="18"/>
          <w:lang w:val="en-US"/>
        </w:rPr>
        <w:t>RESULTS AND DISCUSSION</w:t>
      </w:r>
    </w:p>
    <w:p w:rsidR="00E00D8F" w:rsidRPr="008F058E" w:rsidRDefault="004571B8" w:rsidP="004571B8">
      <w:pPr>
        <w:pStyle w:val="CETheadingx"/>
        <w:numPr>
          <w:ilvl w:val="0"/>
          <w:numId w:val="0"/>
        </w:numPr>
      </w:pPr>
      <w:r>
        <w:t xml:space="preserve">3.1 </w:t>
      </w:r>
      <w:r w:rsidR="000636C5" w:rsidRPr="008F058E">
        <w:t xml:space="preserve">Synthesis and characterisation of </w:t>
      </w:r>
      <w:r w:rsidR="00FE56EE" w:rsidRPr="008F058E">
        <w:t>diacrylvinoate ester (</w:t>
      </w:r>
      <w:r w:rsidR="000636C5" w:rsidRPr="008F058E">
        <w:t>DAVE</w:t>
      </w:r>
      <w:r w:rsidR="00FE56EE" w:rsidRPr="008F058E">
        <w:t>)</w:t>
      </w:r>
      <w:r w:rsidR="000636C5" w:rsidRPr="008F058E">
        <w:t xml:space="preserve"> </w:t>
      </w:r>
    </w:p>
    <w:p w:rsidR="00CE39E4" w:rsidRPr="008F058E" w:rsidRDefault="00CE39E4" w:rsidP="0028672A">
      <w:pPr>
        <w:pStyle w:val="afffe"/>
        <w:tabs>
          <w:tab w:val="clear" w:pos="7100"/>
        </w:tabs>
        <w:spacing w:line="240" w:lineRule="auto"/>
        <w:ind w:left="0" w:firstLine="567"/>
        <w:rPr>
          <w:rFonts w:cs="Arial"/>
          <w:szCs w:val="18"/>
          <w:lang w:val="en-US" w:eastAsia="ru-RU"/>
        </w:rPr>
      </w:pPr>
      <w:r w:rsidRPr="008F058E">
        <w:rPr>
          <w:rFonts w:cs="Arial"/>
          <w:szCs w:val="18"/>
          <w:lang w:val="en-US" w:eastAsia="ru-RU"/>
        </w:rPr>
        <w:t>The esterification of tartaric and acrylic acids (</w:t>
      </w:r>
      <w:r w:rsidR="0028672A">
        <w:rPr>
          <w:rFonts w:cs="Arial"/>
          <w:szCs w:val="18"/>
          <w:lang w:val="en-US" w:eastAsia="ru-RU"/>
        </w:rPr>
        <w:t>1</w:t>
      </w:r>
      <w:r w:rsidRPr="008F058E">
        <w:rPr>
          <w:rFonts w:cs="Arial"/>
          <w:szCs w:val="18"/>
          <w:lang w:val="en-US" w:eastAsia="ru-RU"/>
        </w:rPr>
        <w:t>:</w:t>
      </w:r>
      <w:r w:rsidR="0028672A">
        <w:rPr>
          <w:rFonts w:cs="Arial"/>
          <w:szCs w:val="18"/>
          <w:lang w:val="en-US" w:eastAsia="ru-RU"/>
        </w:rPr>
        <w:t>2</w:t>
      </w:r>
      <w:r w:rsidRPr="008F058E">
        <w:rPr>
          <w:rFonts w:cs="Arial"/>
          <w:szCs w:val="18"/>
          <w:lang w:val="en-US" w:eastAsia="ru-RU"/>
        </w:rPr>
        <w:t xml:space="preserve"> molar ratio) was successfully performed under the selected conditions. Continuous removal of the reaction water allowed a high conversion. The synthesis was repeated independently three times and an average isolated yield of 89% of DAVE was obtained.</w:t>
      </w:r>
    </w:p>
    <w:p w:rsidR="000636C5" w:rsidRPr="008F058E" w:rsidRDefault="00B00E46" w:rsidP="00D0719E">
      <w:pPr>
        <w:spacing w:line="240" w:lineRule="auto"/>
        <w:rPr>
          <w:rFonts w:cs="Arial"/>
          <w:szCs w:val="18"/>
        </w:rPr>
      </w:pPr>
      <w:r w:rsidRPr="008F058E">
        <w:rPr>
          <w:rFonts w:cs="Arial"/>
          <w:szCs w:val="18"/>
        </w:rPr>
        <w:object w:dxaOrig="9015" w:dyaOrig="2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34.65pt;height:112pt" o:ole="">
            <v:imagedata r:id="rId11" o:title=""/>
          </v:shape>
          <o:OLEObject Type="Embed" ProgID="ChemWindow.Document" ShapeID="_x0000_i1033" DrawAspect="Content" ObjectID="_1850375592" r:id="rId12"/>
        </w:object>
      </w:r>
    </w:p>
    <w:p w:rsidR="00934A03" w:rsidRPr="008F058E" w:rsidRDefault="00EA3F16" w:rsidP="00D0719E">
      <w:pPr>
        <w:spacing w:line="240" w:lineRule="auto"/>
        <w:rPr>
          <w:rFonts w:cs="Arial"/>
          <w:szCs w:val="18"/>
        </w:rPr>
      </w:pPr>
      <w:r w:rsidRPr="008F058E">
        <w:rPr>
          <w:rFonts w:cs="Arial"/>
          <w:szCs w:val="18"/>
        </w:rPr>
        <w:tab/>
      </w:r>
      <w:r w:rsidR="00934A03" w:rsidRPr="008F058E">
        <w:rPr>
          <w:rFonts w:cs="Arial"/>
          <w:szCs w:val="18"/>
        </w:rPr>
        <w:t>The HPLC analysis showed a single major chromatographic peak at a retention time of 1.557 min. The integrated peak area was 53.43876 mAU·s, corresponding to 100.0% of the total integrated chromatographic area. These results indicate high chromatographic purity of the synthesized DAVE monomer under the applied analytical conditions. The HPLC chromatogram is presented in Figure 1.</w:t>
      </w:r>
    </w:p>
    <w:p w:rsidR="00934A03" w:rsidRPr="008F058E" w:rsidRDefault="00934A03" w:rsidP="00D0719E">
      <w:pPr>
        <w:spacing w:line="240" w:lineRule="auto"/>
        <w:rPr>
          <w:rFonts w:cs="Arial"/>
          <w:szCs w:val="18"/>
        </w:rPr>
      </w:pPr>
    </w:p>
    <w:p w:rsidR="00934A03" w:rsidRPr="008F058E" w:rsidRDefault="00CE7F3A" w:rsidP="00EA3F16">
      <w:pPr>
        <w:spacing w:line="240" w:lineRule="auto"/>
        <w:jc w:val="center"/>
        <w:rPr>
          <w:rFonts w:cs="Arial"/>
          <w:szCs w:val="18"/>
        </w:rPr>
      </w:pPr>
      <w:r w:rsidRPr="00012415">
        <w:rPr>
          <w:rFonts w:cs="Arial"/>
          <w:noProof/>
          <w:szCs w:val="18"/>
          <w:lang w:val="ru-RU" w:eastAsia="ru-RU"/>
        </w:rPr>
        <w:drawing>
          <wp:inline distT="0" distB="0" distL="0" distR="0">
            <wp:extent cx="4673600" cy="1760855"/>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l="479" t="7816" r="586"/>
                    <a:stretch>
                      <a:fillRect/>
                    </a:stretch>
                  </pic:blipFill>
                  <pic:spPr bwMode="auto">
                    <a:xfrm>
                      <a:off x="0" y="0"/>
                      <a:ext cx="4673600" cy="1760855"/>
                    </a:xfrm>
                    <a:prstGeom prst="rect">
                      <a:avLst/>
                    </a:prstGeom>
                    <a:noFill/>
                    <a:ln>
                      <a:noFill/>
                    </a:ln>
                  </pic:spPr>
                </pic:pic>
              </a:graphicData>
            </a:graphic>
          </wp:inline>
        </w:drawing>
      </w:r>
    </w:p>
    <w:p w:rsidR="00934A03" w:rsidRPr="008F058E" w:rsidRDefault="00934A03" w:rsidP="00D0719E">
      <w:pPr>
        <w:spacing w:line="240" w:lineRule="auto"/>
        <w:rPr>
          <w:rFonts w:cs="Arial"/>
          <w:szCs w:val="18"/>
        </w:rPr>
      </w:pPr>
    </w:p>
    <w:p w:rsidR="00934A03" w:rsidRPr="008F058E" w:rsidRDefault="00540408" w:rsidP="00F37D7D">
      <w:pPr>
        <w:spacing w:line="240" w:lineRule="auto"/>
        <w:ind w:firstLine="567"/>
        <w:rPr>
          <w:rFonts w:cs="Arial"/>
          <w:szCs w:val="18"/>
        </w:rPr>
      </w:pPr>
      <w:r w:rsidRPr="008F058E">
        <w:rPr>
          <w:rFonts w:cs="Arial"/>
          <w:szCs w:val="18"/>
        </w:rPr>
        <w:t>Figure 1: HPLC chromatogram of the synthesized DAVE monomer.</w:t>
      </w:r>
    </w:p>
    <w:p w:rsidR="002C5986" w:rsidRPr="008F058E" w:rsidRDefault="00FA2890" w:rsidP="00FA2890">
      <w:pPr>
        <w:pStyle w:val="leading-8"/>
        <w:spacing w:before="0" w:beforeAutospacing="0" w:after="0" w:afterAutospacing="0"/>
        <w:ind w:firstLine="708"/>
        <w:jc w:val="both"/>
        <w:rPr>
          <w:rFonts w:ascii="Arial" w:hAnsi="Arial" w:cs="Arial"/>
          <w:sz w:val="18"/>
          <w:szCs w:val="18"/>
          <w:lang w:val="uz-Cyrl-UZ"/>
        </w:rPr>
      </w:pPr>
      <w:r w:rsidRPr="008F058E">
        <w:rPr>
          <w:rFonts w:ascii="Arial" w:hAnsi="Arial" w:cs="Arial"/>
          <w:sz w:val="18"/>
          <w:szCs w:val="18"/>
          <w:lang w:val="en-US"/>
        </w:rPr>
        <w:t>The formation of the DAVE ester structure was confirmed by FTIR analysis</w:t>
      </w:r>
      <w:r w:rsidRPr="008F058E">
        <w:rPr>
          <w:rFonts w:ascii="Arial" w:hAnsi="Arial" w:cs="Arial"/>
          <w:sz w:val="18"/>
          <w:szCs w:val="18"/>
          <w:lang w:val="uz-Cyrl-UZ"/>
        </w:rPr>
        <w:t>.</w:t>
      </w:r>
    </w:p>
    <w:p w:rsidR="002C5986" w:rsidRPr="008F058E" w:rsidRDefault="00CE7F3A" w:rsidP="001A2C05">
      <w:pPr>
        <w:pStyle w:val="leading-8"/>
        <w:spacing w:before="0" w:beforeAutospacing="0" w:after="0" w:afterAutospacing="0"/>
        <w:jc w:val="center"/>
        <w:rPr>
          <w:rFonts w:ascii="Arial" w:hAnsi="Arial" w:cs="Arial"/>
          <w:sz w:val="18"/>
          <w:szCs w:val="18"/>
          <w:lang w:val="en-US"/>
        </w:rPr>
      </w:pPr>
      <w:r w:rsidRPr="00012415">
        <w:rPr>
          <w:rFonts w:ascii="Arial" w:hAnsi="Arial" w:cs="Arial"/>
          <w:noProof/>
          <w:sz w:val="18"/>
          <w:szCs w:val="18"/>
        </w:rPr>
        <w:drawing>
          <wp:inline distT="0" distB="0" distL="0" distR="0">
            <wp:extent cx="4318000" cy="1795145"/>
            <wp:effectExtent l="0" t="0" r="0" b="0"/>
            <wp:docPr id="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
                      <a:extLst>
                        <a:ext uri="{28A0092B-C50C-407E-A947-70E740481C1C}">
                          <a14:useLocalDpi xmlns:a14="http://schemas.microsoft.com/office/drawing/2010/main" val="0"/>
                        </a:ext>
                      </a:extLst>
                    </a:blip>
                    <a:srcRect t="19836" b="4639"/>
                    <a:stretch>
                      <a:fillRect/>
                    </a:stretch>
                  </pic:blipFill>
                  <pic:spPr bwMode="auto">
                    <a:xfrm>
                      <a:off x="0" y="0"/>
                      <a:ext cx="4318000" cy="1795145"/>
                    </a:xfrm>
                    <a:prstGeom prst="rect">
                      <a:avLst/>
                    </a:prstGeom>
                    <a:noFill/>
                    <a:ln>
                      <a:noFill/>
                    </a:ln>
                  </pic:spPr>
                </pic:pic>
              </a:graphicData>
            </a:graphic>
          </wp:inline>
        </w:drawing>
      </w:r>
    </w:p>
    <w:p w:rsidR="001A2C05" w:rsidRPr="008F058E" w:rsidRDefault="000C62C0" w:rsidP="00F37D7D">
      <w:pPr>
        <w:tabs>
          <w:tab w:val="clear" w:pos="7100"/>
        </w:tabs>
        <w:spacing w:line="276" w:lineRule="auto"/>
        <w:ind w:firstLine="567"/>
        <w:jc w:val="left"/>
        <w:rPr>
          <w:rFonts w:cs="Arial"/>
          <w:szCs w:val="18"/>
        </w:rPr>
      </w:pPr>
      <w:r w:rsidRPr="008F058E">
        <w:rPr>
          <w:rFonts w:cs="Arial"/>
          <w:szCs w:val="18"/>
        </w:rPr>
        <w:t>Figure 2</w:t>
      </w:r>
      <w:r w:rsidR="004D5DE5" w:rsidRPr="008F058E">
        <w:rPr>
          <w:rFonts w:cs="Arial"/>
          <w:szCs w:val="18"/>
        </w:rPr>
        <w:t xml:space="preserve">: </w:t>
      </w:r>
      <w:r w:rsidR="006173FF" w:rsidRPr="008F058E">
        <w:rPr>
          <w:rFonts w:cs="Arial"/>
          <w:szCs w:val="18"/>
        </w:rPr>
        <w:t>FTIR spectrum of the synthesized DAVE monomer with the principal characteristic absorption bands indicated.</w:t>
      </w:r>
    </w:p>
    <w:p w:rsidR="00A65C2C" w:rsidRPr="008F058E" w:rsidRDefault="007337A8" w:rsidP="00F37D7D">
      <w:pPr>
        <w:tabs>
          <w:tab w:val="clear" w:pos="7100"/>
        </w:tabs>
        <w:spacing w:line="240" w:lineRule="auto"/>
        <w:rPr>
          <w:rFonts w:cs="Arial"/>
          <w:color w:val="FF0000"/>
          <w:szCs w:val="18"/>
          <w:lang w:val="en-US"/>
        </w:rPr>
      </w:pPr>
      <w:r w:rsidRPr="008F058E">
        <w:rPr>
          <w:rFonts w:cs="Arial"/>
          <w:szCs w:val="18"/>
          <w:lang w:val="en-US"/>
        </w:rPr>
        <w:tab/>
      </w:r>
      <w:r w:rsidR="00CE39E4" w:rsidRPr="008F058E">
        <w:rPr>
          <w:rFonts w:cs="Arial"/>
          <w:szCs w:val="18"/>
          <w:lang w:val="en-US" w:eastAsia="ru-RU"/>
        </w:rPr>
        <w:t>The main FTIR absorption bands were attributed as follows: the band at 1695 cm</w:t>
      </w:r>
      <w:r w:rsidR="00CE39E4" w:rsidRPr="008F058E">
        <w:rPr>
          <w:rFonts w:ascii="Cambria Math" w:hAnsi="Cambria Math" w:cs="Cambria Math"/>
          <w:szCs w:val="18"/>
          <w:lang w:val="en-US" w:eastAsia="ru-RU"/>
        </w:rPr>
        <w:t>⁻</w:t>
      </w:r>
      <w:r w:rsidR="00CE39E4" w:rsidRPr="008F058E">
        <w:rPr>
          <w:rFonts w:cs="Arial"/>
          <w:szCs w:val="18"/>
          <w:lang w:val="en-US" w:eastAsia="ru-RU"/>
        </w:rPr>
        <w:t>¹ to C=O stretching vibration; the bands at 1635 and 1614 cm</w:t>
      </w:r>
      <w:r w:rsidR="00CE39E4" w:rsidRPr="008F058E">
        <w:rPr>
          <w:rFonts w:ascii="Cambria Math" w:hAnsi="Cambria Math" w:cs="Cambria Math"/>
          <w:szCs w:val="18"/>
          <w:lang w:val="en-US" w:eastAsia="ru-RU"/>
        </w:rPr>
        <w:t>⁻</w:t>
      </w:r>
      <w:r w:rsidR="00CE39E4" w:rsidRPr="008F058E">
        <w:rPr>
          <w:rFonts w:cs="Arial"/>
          <w:szCs w:val="18"/>
          <w:lang w:val="en-US" w:eastAsia="ru-RU"/>
        </w:rPr>
        <w:t>¹ to C=C stretching vibrations; the bands at 1292 and 1202 cm</w:t>
      </w:r>
      <w:r w:rsidR="00CE39E4" w:rsidRPr="008F058E">
        <w:rPr>
          <w:rFonts w:ascii="Cambria Math" w:hAnsi="Cambria Math" w:cs="Cambria Math"/>
          <w:szCs w:val="18"/>
          <w:lang w:val="en-US" w:eastAsia="ru-RU"/>
        </w:rPr>
        <w:t>⁻</w:t>
      </w:r>
      <w:r w:rsidR="00CE39E4" w:rsidRPr="008F058E">
        <w:rPr>
          <w:rFonts w:cs="Arial"/>
          <w:szCs w:val="18"/>
          <w:lang w:val="en-US" w:eastAsia="ru-RU"/>
        </w:rPr>
        <w:t>¹ to C–O–C vibrations; and the bands at 977 and 819 cm</w:t>
      </w:r>
      <w:r w:rsidR="00CE39E4" w:rsidRPr="008F058E">
        <w:rPr>
          <w:rFonts w:ascii="Cambria Math" w:hAnsi="Cambria Math" w:cs="Cambria Math"/>
          <w:szCs w:val="18"/>
          <w:lang w:val="en-US" w:eastAsia="ru-RU"/>
        </w:rPr>
        <w:t>⁻</w:t>
      </w:r>
      <w:r w:rsidR="00CE39E4" w:rsidRPr="008F058E">
        <w:rPr>
          <w:rFonts w:cs="Arial"/>
          <w:szCs w:val="18"/>
          <w:lang w:val="en-US" w:eastAsia="ru-RU"/>
        </w:rPr>
        <w:t>¹ to vibrations associated with the acrylic C=C bonds.</w:t>
      </w:r>
      <w:r w:rsidR="00F37D7D">
        <w:rPr>
          <w:rFonts w:cs="Arial"/>
          <w:szCs w:val="18"/>
          <w:lang w:val="en-US" w:eastAsia="ru-RU"/>
        </w:rPr>
        <w:t xml:space="preserve"> </w:t>
      </w:r>
      <w:r w:rsidR="00A65C2C" w:rsidRPr="008F058E">
        <w:rPr>
          <w:rFonts w:cs="Arial"/>
          <w:szCs w:val="18"/>
          <w:lang w:val="uz-Cyrl-UZ"/>
        </w:rPr>
        <w:t>The structure of the synthesized ester was also studied using 1H NMR spectros</w:t>
      </w:r>
      <w:r w:rsidR="00465022" w:rsidRPr="008F058E">
        <w:rPr>
          <w:rFonts w:cs="Arial"/>
          <w:szCs w:val="18"/>
          <w:lang w:val="uz-Cyrl-UZ"/>
        </w:rPr>
        <w:t xml:space="preserve">copy. In the spectrum, δ=5.34 </w:t>
      </w:r>
      <w:r w:rsidR="00465022" w:rsidRPr="008F058E">
        <w:rPr>
          <w:rFonts w:cs="Arial"/>
          <w:szCs w:val="18"/>
        </w:rPr>
        <w:t>ppm</w:t>
      </w:r>
      <w:r w:rsidR="00A65C2C" w:rsidRPr="008F058E">
        <w:rPr>
          <w:rFonts w:cs="Arial"/>
          <w:szCs w:val="18"/>
          <w:lang w:val="uz-Cyrl-UZ"/>
        </w:rPr>
        <w:t xml:space="preserve"> corresponds to the signals of vinyl protons belonging to the acrylic region.  This shift confirms the presence and preservation of acrylic acid in the ether. The absorptions in the δ=4.47 </w:t>
      </w:r>
      <w:r w:rsidR="00465022" w:rsidRPr="008F058E">
        <w:rPr>
          <w:rFonts w:cs="Arial"/>
          <w:szCs w:val="18"/>
        </w:rPr>
        <w:t>ppm</w:t>
      </w:r>
      <w:r w:rsidR="00A65C2C" w:rsidRPr="008F058E">
        <w:rPr>
          <w:rFonts w:cs="Arial"/>
          <w:szCs w:val="18"/>
          <w:lang w:val="uz-Cyrl-UZ"/>
        </w:rPr>
        <w:t xml:space="preserve"> region belong to the –O-CH– and –O-CH</w:t>
      </w:r>
      <w:r w:rsidR="00A65C2C" w:rsidRPr="008F058E">
        <w:rPr>
          <w:rFonts w:cs="Arial"/>
          <w:szCs w:val="18"/>
          <w:vertAlign w:val="subscript"/>
          <w:lang w:val="uz-Cyrl-UZ"/>
        </w:rPr>
        <w:t>2</w:t>
      </w:r>
      <w:r w:rsidR="00A65C2C" w:rsidRPr="008F058E">
        <w:rPr>
          <w:rFonts w:cs="Arial"/>
          <w:szCs w:val="18"/>
          <w:lang w:val="uz-Cyrl-UZ"/>
        </w:rPr>
        <w:t xml:space="preserve"> protons adjacent to the oxygen atom, serving as the primary confirmation of the formation of the ester bond. The singlet spectral signal of tartaric acid in the range of 3.00–3.36 ppm belongs to the proton of the COOH group. Methylene protons -CH</w:t>
      </w:r>
      <w:r w:rsidR="00A65C2C" w:rsidRPr="008F058E">
        <w:rPr>
          <w:rFonts w:cs="Arial"/>
          <w:szCs w:val="18"/>
          <w:vertAlign w:val="subscript"/>
          <w:lang w:val="uz-Cyrl-UZ"/>
        </w:rPr>
        <w:t>2</w:t>
      </w:r>
      <w:r w:rsidR="00A65C2C" w:rsidRPr="008F058E">
        <w:rPr>
          <w:rFonts w:cs="Arial"/>
          <w:szCs w:val="18"/>
          <w:lang w:val="uz-Cyrl-UZ"/>
        </w:rPr>
        <w:t>, located near the carbonyl group, are expressed in the δ=2.49-2.16 ppm region.</w:t>
      </w:r>
    </w:p>
    <w:p w:rsidR="000636C5" w:rsidRPr="008F058E" w:rsidRDefault="000636C5" w:rsidP="000636C5">
      <w:pPr>
        <w:spacing w:line="240" w:lineRule="auto"/>
        <w:ind w:firstLine="567"/>
        <w:rPr>
          <w:rFonts w:cs="Arial"/>
          <w:szCs w:val="18"/>
          <w:lang w:val="uz-Cyrl-UZ"/>
        </w:rPr>
      </w:pPr>
      <w:r w:rsidRPr="008F058E">
        <w:rPr>
          <w:rFonts w:cs="Arial"/>
          <w:szCs w:val="18"/>
          <w:lang w:val="en-US"/>
        </w:rPr>
        <w:lastRenderedPageBreak/>
        <w:t xml:space="preserve">The </w:t>
      </w:r>
      <w:r w:rsidRPr="008F058E">
        <w:rPr>
          <w:rFonts w:cs="Arial"/>
          <w:szCs w:val="18"/>
          <w:lang w:val="uz-Cyrl-UZ"/>
        </w:rPr>
        <w:t>morphology</w:t>
      </w:r>
      <w:r w:rsidRPr="008F058E">
        <w:rPr>
          <w:rFonts w:cs="Arial"/>
          <w:szCs w:val="18"/>
          <w:lang w:val="en-US"/>
        </w:rPr>
        <w:t xml:space="preserve"> </w:t>
      </w:r>
      <w:r w:rsidRPr="008F058E">
        <w:rPr>
          <w:rFonts w:cs="Arial"/>
          <w:szCs w:val="18"/>
          <w:lang w:val="uz-Cyrl-UZ"/>
        </w:rPr>
        <w:t xml:space="preserve">of the synthesized ether sample observed </w:t>
      </w:r>
      <w:r w:rsidRPr="008F058E">
        <w:rPr>
          <w:rFonts w:cs="Arial"/>
          <w:szCs w:val="18"/>
          <w:lang w:val="en-US"/>
        </w:rPr>
        <w:t xml:space="preserve">by using </w:t>
      </w:r>
      <w:r w:rsidRPr="008F058E">
        <w:rPr>
          <w:rFonts w:cs="Arial"/>
          <w:szCs w:val="18"/>
          <w:lang w:val="uz-Cyrl-UZ"/>
        </w:rPr>
        <w:t>scanning electron microscope (SEM)</w:t>
      </w:r>
      <w:r w:rsidRPr="008F058E">
        <w:rPr>
          <w:rFonts w:cs="Arial"/>
          <w:szCs w:val="18"/>
          <w:lang w:val="en-US"/>
        </w:rPr>
        <w:t>, as shown</w:t>
      </w:r>
      <w:r w:rsidR="000C62C0" w:rsidRPr="008F058E">
        <w:rPr>
          <w:rFonts w:cs="Arial"/>
          <w:szCs w:val="18"/>
          <w:lang w:val="uz-Cyrl-UZ"/>
        </w:rPr>
        <w:t xml:space="preserve"> in Figure 3 </w:t>
      </w:r>
      <w:r w:rsidRPr="008F058E">
        <w:rPr>
          <w:rFonts w:cs="Arial"/>
          <w:szCs w:val="18"/>
          <w:lang w:val="uz-Cyrl-UZ"/>
        </w:rPr>
        <w:t xml:space="preserve">a, is irregular and </w:t>
      </w:r>
      <w:r w:rsidRPr="008F058E">
        <w:rPr>
          <w:rFonts w:cs="Arial"/>
          <w:szCs w:val="18"/>
          <w:lang w:val="en-US"/>
        </w:rPr>
        <w:t xml:space="preserve">an </w:t>
      </w:r>
      <w:r w:rsidRPr="008F058E">
        <w:rPr>
          <w:rFonts w:cs="Arial"/>
          <w:szCs w:val="18"/>
          <w:lang w:val="uz-Cyrl-UZ"/>
        </w:rPr>
        <w:t>aggregated structure.</w:t>
      </w:r>
    </w:p>
    <w:tbl>
      <w:tblPr>
        <w:tblW w:w="8777" w:type="dxa"/>
        <w:jc w:val="center"/>
        <w:tblLook w:val="04A0" w:firstRow="1" w:lastRow="0" w:firstColumn="1" w:lastColumn="0" w:noHBand="0" w:noVBand="1"/>
      </w:tblPr>
      <w:tblGrid>
        <w:gridCol w:w="4333"/>
        <w:gridCol w:w="4454"/>
      </w:tblGrid>
      <w:tr w:rsidR="00D0719E" w:rsidRPr="008F058E" w:rsidTr="00187527">
        <w:trPr>
          <w:trHeight w:val="2489"/>
          <w:jc w:val="center"/>
        </w:trPr>
        <w:tc>
          <w:tcPr>
            <w:tcW w:w="4058" w:type="dxa"/>
            <w:shd w:val="clear" w:color="auto" w:fill="auto"/>
          </w:tcPr>
          <w:p w:rsidR="000636C5" w:rsidRPr="008F058E" w:rsidRDefault="00CE7F3A" w:rsidP="000636C5">
            <w:pPr>
              <w:pStyle w:val="leading-8"/>
              <w:spacing w:before="0" w:beforeAutospacing="0" w:after="0" w:afterAutospacing="0"/>
              <w:ind w:left="318"/>
              <w:jc w:val="center"/>
              <w:rPr>
                <w:rFonts w:ascii="Arial" w:hAnsi="Arial" w:cs="Arial"/>
                <w:b/>
                <w:color w:val="000000"/>
                <w:sz w:val="18"/>
                <w:szCs w:val="18"/>
                <w:lang w:val="uz-Cyrl-UZ"/>
              </w:rPr>
            </w:pPr>
            <w:r w:rsidRPr="00012415">
              <w:rPr>
                <w:rFonts w:ascii="Arial" w:hAnsi="Arial" w:cs="Arial"/>
                <w:noProof/>
                <w:sz w:val="18"/>
                <w:szCs w:val="18"/>
              </w:rPr>
              <w:drawing>
                <wp:inline distT="0" distB="0" distL="0" distR="0">
                  <wp:extent cx="2430145" cy="2049145"/>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a:extLst>
                              <a:ext uri="{28A0092B-C50C-407E-A947-70E740481C1C}">
                                <a14:useLocalDpi xmlns:a14="http://schemas.microsoft.com/office/drawing/2010/main" val="0"/>
                              </a:ext>
                            </a:extLst>
                          </a:blip>
                          <a:srcRect l="40785" t="32491" r="30505" b="19919"/>
                          <a:stretch>
                            <a:fillRect/>
                          </a:stretch>
                        </pic:blipFill>
                        <pic:spPr bwMode="auto">
                          <a:xfrm>
                            <a:off x="0" y="0"/>
                            <a:ext cx="2430145" cy="2049145"/>
                          </a:xfrm>
                          <a:prstGeom prst="rect">
                            <a:avLst/>
                          </a:prstGeom>
                          <a:noFill/>
                          <a:ln>
                            <a:noFill/>
                          </a:ln>
                        </pic:spPr>
                      </pic:pic>
                    </a:graphicData>
                  </a:graphic>
                </wp:inline>
              </w:drawing>
            </w:r>
          </w:p>
        </w:tc>
        <w:tc>
          <w:tcPr>
            <w:tcW w:w="4719" w:type="dxa"/>
            <w:shd w:val="clear" w:color="auto" w:fill="auto"/>
          </w:tcPr>
          <w:p w:rsidR="000636C5" w:rsidRPr="008F058E" w:rsidRDefault="00CE7F3A" w:rsidP="00D0719E">
            <w:pPr>
              <w:pStyle w:val="leading-8"/>
              <w:spacing w:before="0" w:beforeAutospacing="0" w:after="0" w:afterAutospacing="0"/>
              <w:jc w:val="right"/>
              <w:rPr>
                <w:rFonts w:ascii="Arial" w:hAnsi="Arial" w:cs="Arial"/>
                <w:b/>
                <w:color w:val="000000"/>
                <w:sz w:val="18"/>
                <w:szCs w:val="18"/>
                <w:lang w:val="uz-Cyrl-UZ"/>
              </w:rPr>
            </w:pPr>
            <w:r w:rsidRPr="00012415">
              <w:rPr>
                <w:rFonts w:ascii="Arial" w:hAnsi="Arial" w:cs="Arial"/>
                <w:noProof/>
                <w:sz w:val="18"/>
                <w:szCs w:val="18"/>
              </w:rPr>
              <w:drawing>
                <wp:inline distT="0" distB="0" distL="0" distR="0">
                  <wp:extent cx="2709545" cy="2014855"/>
                  <wp:effectExtent l="0" t="0" r="0" b="0"/>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6">
                            <a:extLst>
                              <a:ext uri="{28A0092B-C50C-407E-A947-70E740481C1C}">
                                <a14:useLocalDpi xmlns:a14="http://schemas.microsoft.com/office/drawing/2010/main" val="0"/>
                              </a:ext>
                            </a:extLst>
                          </a:blip>
                          <a:srcRect l="34911" t="36493" r="31528" b="24747"/>
                          <a:stretch>
                            <a:fillRect/>
                          </a:stretch>
                        </pic:blipFill>
                        <pic:spPr bwMode="auto">
                          <a:xfrm>
                            <a:off x="0" y="0"/>
                            <a:ext cx="2709545" cy="2014855"/>
                          </a:xfrm>
                          <a:prstGeom prst="rect">
                            <a:avLst/>
                          </a:prstGeom>
                          <a:noFill/>
                          <a:ln>
                            <a:noFill/>
                          </a:ln>
                        </pic:spPr>
                      </pic:pic>
                    </a:graphicData>
                  </a:graphic>
                </wp:inline>
              </w:drawing>
            </w:r>
          </w:p>
        </w:tc>
      </w:tr>
      <w:tr w:rsidR="000636C5" w:rsidRPr="008F058E" w:rsidTr="00187527">
        <w:trPr>
          <w:trHeight w:val="58"/>
          <w:jc w:val="center"/>
        </w:trPr>
        <w:tc>
          <w:tcPr>
            <w:tcW w:w="4058" w:type="dxa"/>
            <w:shd w:val="clear" w:color="auto" w:fill="auto"/>
          </w:tcPr>
          <w:p w:rsidR="000636C5" w:rsidRPr="008F058E" w:rsidRDefault="000636C5" w:rsidP="000636C5">
            <w:pPr>
              <w:pStyle w:val="leading-8"/>
              <w:spacing w:before="0" w:beforeAutospacing="0" w:after="0" w:afterAutospacing="0"/>
              <w:jc w:val="center"/>
              <w:rPr>
                <w:rFonts w:ascii="Arial" w:hAnsi="Arial" w:cs="Arial"/>
                <w:noProof/>
                <w:sz w:val="18"/>
                <w:szCs w:val="18"/>
              </w:rPr>
            </w:pPr>
            <w:r w:rsidRPr="008F058E">
              <w:rPr>
                <w:rFonts w:ascii="Arial" w:hAnsi="Arial" w:cs="Arial"/>
                <w:noProof/>
                <w:sz w:val="18"/>
                <w:szCs w:val="18"/>
                <w:lang w:val="en-US"/>
              </w:rPr>
              <w:t>a)</w:t>
            </w:r>
          </w:p>
        </w:tc>
        <w:tc>
          <w:tcPr>
            <w:tcW w:w="4719" w:type="dxa"/>
            <w:shd w:val="clear" w:color="auto" w:fill="auto"/>
          </w:tcPr>
          <w:p w:rsidR="000636C5" w:rsidRPr="008F058E" w:rsidRDefault="000636C5" w:rsidP="000636C5">
            <w:pPr>
              <w:pStyle w:val="leading-8"/>
              <w:spacing w:before="0" w:beforeAutospacing="0" w:after="0" w:afterAutospacing="0"/>
              <w:ind w:right="561"/>
              <w:jc w:val="center"/>
              <w:rPr>
                <w:rFonts w:ascii="Arial" w:hAnsi="Arial" w:cs="Arial"/>
                <w:noProof/>
                <w:sz w:val="18"/>
                <w:szCs w:val="18"/>
              </w:rPr>
            </w:pPr>
            <w:r w:rsidRPr="008F058E">
              <w:rPr>
                <w:rFonts w:ascii="Arial" w:hAnsi="Arial" w:cs="Arial"/>
                <w:noProof/>
                <w:sz w:val="18"/>
                <w:szCs w:val="18"/>
                <w:lang w:val="en-US"/>
              </w:rPr>
              <w:t>b)</w:t>
            </w:r>
          </w:p>
        </w:tc>
      </w:tr>
    </w:tbl>
    <w:p w:rsidR="001C0519" w:rsidRPr="008F058E" w:rsidRDefault="000636C5" w:rsidP="00537738">
      <w:pPr>
        <w:pStyle w:val="CETCaption"/>
        <w:spacing w:before="0" w:after="0"/>
        <w:rPr>
          <w:rFonts w:cs="Arial"/>
          <w:i w:val="0"/>
          <w:szCs w:val="18"/>
        </w:rPr>
      </w:pPr>
      <w:r w:rsidRPr="008F058E">
        <w:rPr>
          <w:rFonts w:cs="Arial"/>
          <w:i w:val="0"/>
          <w:szCs w:val="18"/>
        </w:rPr>
        <w:t xml:space="preserve">Figure </w:t>
      </w:r>
      <w:r w:rsidR="000C62C0" w:rsidRPr="008F058E">
        <w:rPr>
          <w:rFonts w:cs="Arial"/>
          <w:i w:val="0"/>
          <w:szCs w:val="18"/>
          <w:lang w:val="en-US"/>
        </w:rPr>
        <w:t>3</w:t>
      </w:r>
      <w:r w:rsidRPr="008F058E">
        <w:rPr>
          <w:rFonts w:cs="Arial"/>
          <w:i w:val="0"/>
          <w:szCs w:val="18"/>
        </w:rPr>
        <w:t>: SEM (a) and EDS (b) analysis of synthesised DAVE ester</w:t>
      </w:r>
    </w:p>
    <w:p w:rsidR="000636C5" w:rsidRPr="008F058E" w:rsidRDefault="000636C5" w:rsidP="00537738">
      <w:pPr>
        <w:pStyle w:val="21"/>
        <w:spacing w:before="0"/>
        <w:rPr>
          <w:rFonts w:ascii="Arial" w:hAnsi="Arial" w:cs="Arial"/>
          <w:b w:val="0"/>
          <w:color w:val="auto"/>
          <w:sz w:val="18"/>
          <w:szCs w:val="18"/>
          <w:lang w:val="uz-Cyrl-UZ"/>
        </w:rPr>
      </w:pPr>
      <w:bookmarkStart w:id="3" w:name="Table1"/>
      <w:r w:rsidRPr="008F058E">
        <w:rPr>
          <w:rFonts w:ascii="Arial" w:hAnsi="Arial" w:cs="Arial"/>
          <w:b w:val="0"/>
          <w:color w:val="auto"/>
          <w:sz w:val="18"/>
          <w:szCs w:val="18"/>
          <w:lang w:val="uz-Cyrl-UZ"/>
        </w:rPr>
        <w:t xml:space="preserve">As shown in figure </w:t>
      </w:r>
      <w:r w:rsidR="004D5DE5" w:rsidRPr="008F058E">
        <w:rPr>
          <w:rFonts w:ascii="Arial" w:hAnsi="Arial" w:cs="Arial"/>
          <w:b w:val="0"/>
          <w:color w:val="auto"/>
          <w:sz w:val="18"/>
          <w:szCs w:val="18"/>
          <w:lang w:val="uz-Cyrl-UZ"/>
        </w:rPr>
        <w:t xml:space="preserve">2 </w:t>
      </w:r>
      <w:r w:rsidRPr="008F058E">
        <w:rPr>
          <w:rFonts w:ascii="Arial" w:hAnsi="Arial" w:cs="Arial"/>
          <w:b w:val="0"/>
          <w:color w:val="auto"/>
          <w:sz w:val="18"/>
          <w:szCs w:val="18"/>
          <w:lang w:val="uz-Cyrl-UZ"/>
        </w:rPr>
        <w:t>a, the material is composed of densely packed particles of different sizes and has a layered and porous structure. Particle adhesion during synthesis and drying causes aggregation and an increase in specific surface area.</w:t>
      </w:r>
    </w:p>
    <w:p w:rsidR="002373AB" w:rsidRPr="008F058E" w:rsidRDefault="000636C5" w:rsidP="004571B8">
      <w:pPr>
        <w:pStyle w:val="aff1"/>
        <w:shd w:val="clear" w:color="auto" w:fill="FFFFFF"/>
        <w:spacing w:line="240" w:lineRule="auto"/>
        <w:ind w:firstLine="567"/>
        <w:rPr>
          <w:rFonts w:cs="Arial"/>
          <w:bCs/>
          <w:sz w:val="18"/>
          <w:szCs w:val="18"/>
          <w:lang w:val="uz-Cyrl-UZ"/>
        </w:rPr>
      </w:pPr>
      <w:r w:rsidRPr="008F058E">
        <w:rPr>
          <w:rFonts w:cs="Arial"/>
          <w:bCs/>
          <w:sz w:val="18"/>
          <w:szCs w:val="18"/>
          <w:lang w:val="uz-Cyrl-UZ"/>
        </w:rPr>
        <w:t>The principal peaks in the energy-dispersive X-ray (EDS) spectrum are attributed to carbon and oxygen (Fig</w:t>
      </w:r>
      <w:r w:rsidRPr="008F058E">
        <w:rPr>
          <w:rFonts w:cs="Arial"/>
          <w:bCs/>
          <w:sz w:val="18"/>
          <w:szCs w:val="18"/>
          <w:lang w:val="en-US"/>
        </w:rPr>
        <w:t>ure</w:t>
      </w:r>
      <w:r w:rsidRPr="008F058E">
        <w:rPr>
          <w:rFonts w:cs="Arial"/>
          <w:bCs/>
          <w:sz w:val="18"/>
          <w:szCs w:val="18"/>
          <w:lang w:val="uz-Cyrl-UZ"/>
        </w:rPr>
        <w:t xml:space="preserve">. </w:t>
      </w:r>
      <w:r w:rsidR="004D5DE5" w:rsidRPr="008F058E">
        <w:rPr>
          <w:rFonts w:cs="Arial"/>
          <w:bCs/>
          <w:sz w:val="18"/>
          <w:szCs w:val="18"/>
          <w:lang w:val="uz-Cyrl-UZ"/>
        </w:rPr>
        <w:t xml:space="preserve">2 </w:t>
      </w:r>
      <w:r w:rsidRPr="008F058E">
        <w:rPr>
          <w:rFonts w:cs="Arial"/>
          <w:bCs/>
          <w:sz w:val="18"/>
          <w:szCs w:val="18"/>
          <w:lang w:val="uz-Cyrl-UZ"/>
        </w:rPr>
        <w:t>b). This confirms the organic nature of the synthesized ester and the presence of ester and carboxyl functional groups. The absence of peaks of other elements proves the high purity of the synthesised product.</w:t>
      </w:r>
    </w:p>
    <w:p w:rsidR="000636C5" w:rsidRPr="008F058E" w:rsidRDefault="00F37D7D" w:rsidP="00F37D7D">
      <w:pPr>
        <w:pStyle w:val="CETheadingx"/>
        <w:numPr>
          <w:ilvl w:val="0"/>
          <w:numId w:val="0"/>
        </w:numPr>
        <w:jc w:val="both"/>
      </w:pPr>
      <w:r>
        <w:t xml:space="preserve">3.4 </w:t>
      </w:r>
      <w:r w:rsidR="000636C5" w:rsidRPr="008F058E">
        <w:t>Acute oral toxicity</w:t>
      </w:r>
    </w:p>
    <w:p w:rsidR="00CE39E4" w:rsidRPr="00012415" w:rsidRDefault="00CE39E4" w:rsidP="004571B8">
      <w:pPr>
        <w:tabs>
          <w:tab w:val="clear" w:pos="7100"/>
        </w:tabs>
        <w:spacing w:line="240" w:lineRule="auto"/>
        <w:rPr>
          <w:rFonts w:cs="Arial"/>
          <w:szCs w:val="18"/>
          <w:lang w:val="en-US" w:eastAsia="ru-RU"/>
        </w:rPr>
      </w:pPr>
      <w:r w:rsidRPr="008F058E">
        <w:rPr>
          <w:rFonts w:cs="Arial"/>
          <w:szCs w:val="18"/>
          <w:lang w:val="en-US" w:eastAsia="ru-RU"/>
        </w:rPr>
        <w:t>The experiment was performed on mature (18–22 g) white female mice. The test substance was given orally as a 20% aqueous solution at single doses of 500–4000 mg/kg via a metal gavage probe. Five animals per dose were used and were observed for 14 days. Observations were made on general condition, behavior, response to external stimuli, respiratory activity, motor activity, appearance of hair, skin and visible mucous membranes, food and water consumption, and fecal and urinary excretion during the observation period. They also noted mortality and signs of intoxication.</w:t>
      </w:r>
      <w:r w:rsidR="004571B8">
        <w:rPr>
          <w:rFonts w:cs="Arial"/>
          <w:szCs w:val="18"/>
          <w:lang w:val="en-US" w:eastAsia="ru-RU"/>
        </w:rPr>
        <w:t xml:space="preserve"> </w:t>
      </w:r>
      <w:r w:rsidRPr="008F058E">
        <w:rPr>
          <w:rFonts w:cs="Arial"/>
          <w:szCs w:val="18"/>
          <w:lang w:val="en-US" w:eastAsia="ru-RU"/>
        </w:rPr>
        <w:t xml:space="preserve">The LD50 was found to be 3,250 mg/kg. Mortality was 20% (1/5 animals) at 3,000 mg/kg and 40% (2/5 animals) at 3,500 mg/kg. At the highest dose tested (4,000 mg/kg), mortality was 100% (5/5 animals). At 2,000 mg/kg, transient excitation and decreased motor activity were seen, which disappeared during the observation period. </w:t>
      </w:r>
      <w:r w:rsidRPr="00012415">
        <w:rPr>
          <w:rFonts w:cs="Arial"/>
          <w:szCs w:val="18"/>
          <w:lang w:val="en-US" w:eastAsia="ru-RU"/>
        </w:rPr>
        <w:t>(Table 1)</w:t>
      </w:r>
    </w:p>
    <w:p w:rsidR="003D4CFF" w:rsidRPr="008F058E" w:rsidRDefault="003D4CFF" w:rsidP="009753F7">
      <w:pPr>
        <w:tabs>
          <w:tab w:val="clear" w:pos="7100"/>
        </w:tabs>
        <w:spacing w:line="240" w:lineRule="auto"/>
        <w:rPr>
          <w:rFonts w:cs="Arial"/>
          <w:szCs w:val="18"/>
          <w:lang w:val="en-US" w:eastAsia="ru-RU"/>
        </w:rPr>
      </w:pPr>
    </w:p>
    <w:p w:rsidR="00D0719E" w:rsidRPr="008F058E" w:rsidRDefault="00E16EC7" w:rsidP="004571B8">
      <w:pPr>
        <w:tabs>
          <w:tab w:val="clear" w:pos="7100"/>
        </w:tabs>
        <w:spacing w:line="240" w:lineRule="auto"/>
        <w:ind w:firstLine="567"/>
        <w:jc w:val="left"/>
        <w:rPr>
          <w:rFonts w:cs="Arial"/>
          <w:iCs/>
          <w:szCs w:val="18"/>
        </w:rPr>
      </w:pPr>
      <w:r w:rsidRPr="008F058E">
        <w:rPr>
          <w:rFonts w:cs="Arial"/>
          <w:iCs/>
          <w:szCs w:val="18"/>
          <w:lang w:val="en-US" w:eastAsia="ru-RU"/>
        </w:rPr>
        <w:t>Table 1:</w:t>
      </w:r>
      <w:r w:rsidR="00D0719E" w:rsidRPr="008F058E">
        <w:rPr>
          <w:rFonts w:cs="Arial"/>
          <w:iCs/>
          <w:szCs w:val="18"/>
          <w:lang w:val="en-US" w:eastAsia="ru-RU"/>
        </w:rPr>
        <w:t xml:space="preserve">  </w:t>
      </w:r>
      <w:r w:rsidR="005D6C27" w:rsidRPr="008F058E">
        <w:rPr>
          <w:rFonts w:cs="Arial"/>
          <w:szCs w:val="18"/>
        </w:rPr>
        <w:t>Acute oral toxicity and mortality of mice following administration of DAVE at different doses</w:t>
      </w:r>
    </w:p>
    <w:tbl>
      <w:tblPr>
        <w:tblW w:w="8325"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726"/>
        <w:gridCol w:w="2015"/>
        <w:gridCol w:w="1206"/>
        <w:gridCol w:w="1207"/>
        <w:gridCol w:w="2171"/>
      </w:tblGrid>
      <w:tr w:rsidR="003D4CFF" w:rsidRPr="008F058E" w:rsidTr="008F058E">
        <w:trPr>
          <w:trHeight w:val="368"/>
        </w:trPr>
        <w:tc>
          <w:tcPr>
            <w:tcW w:w="1726" w:type="dxa"/>
            <w:tcBorders>
              <w:top w:val="single" w:sz="12" w:space="0" w:color="008000"/>
              <w:bottom w:val="single" w:sz="6" w:space="0" w:color="008000"/>
            </w:tcBorders>
            <w:shd w:val="clear" w:color="auto" w:fill="FFFFFF"/>
            <w:vAlign w:val="center"/>
          </w:tcPr>
          <w:bookmarkEnd w:id="3"/>
          <w:p w:rsidR="003D4CFF" w:rsidRPr="008F058E" w:rsidRDefault="003D4CFF" w:rsidP="003D4CFF">
            <w:pPr>
              <w:pStyle w:val="CETBodytext"/>
              <w:rPr>
                <w:rStyle w:val="affff2"/>
                <w:rFonts w:cs="Arial"/>
                <w:bCs w:val="0"/>
                <w:szCs w:val="18"/>
              </w:rPr>
            </w:pPr>
            <w:r w:rsidRPr="008F058E">
              <w:rPr>
                <w:rFonts w:cs="Arial"/>
                <w:bCs/>
                <w:szCs w:val="18"/>
                <w:lang w:val="ru-RU" w:eastAsia="ru-RU"/>
              </w:rPr>
              <w:t>Dose, mg/kg</w:t>
            </w:r>
          </w:p>
        </w:tc>
        <w:tc>
          <w:tcPr>
            <w:tcW w:w="2015" w:type="dxa"/>
            <w:tcBorders>
              <w:top w:val="single" w:sz="12" w:space="0" w:color="008000"/>
              <w:bottom w:val="single" w:sz="6" w:space="0" w:color="008000"/>
            </w:tcBorders>
            <w:shd w:val="clear" w:color="auto" w:fill="FFFFFF"/>
            <w:vAlign w:val="center"/>
          </w:tcPr>
          <w:p w:rsidR="003D4CFF" w:rsidRPr="008F058E" w:rsidRDefault="003D4CFF" w:rsidP="003D4CFF">
            <w:pPr>
              <w:pStyle w:val="CETBodytext"/>
              <w:rPr>
                <w:rStyle w:val="affff2"/>
                <w:rFonts w:cs="Arial"/>
                <w:bCs w:val="0"/>
                <w:szCs w:val="18"/>
              </w:rPr>
            </w:pPr>
            <w:r w:rsidRPr="008F058E">
              <w:rPr>
                <w:rFonts w:cs="Arial"/>
                <w:bCs/>
                <w:szCs w:val="18"/>
                <w:lang w:val="ru-RU" w:eastAsia="ru-RU"/>
              </w:rPr>
              <w:t>Number of animals, n</w:t>
            </w:r>
          </w:p>
        </w:tc>
        <w:tc>
          <w:tcPr>
            <w:tcW w:w="1206" w:type="dxa"/>
            <w:tcBorders>
              <w:top w:val="single" w:sz="12" w:space="0" w:color="008000"/>
              <w:bottom w:val="single" w:sz="6" w:space="0" w:color="008000"/>
            </w:tcBorders>
            <w:shd w:val="clear" w:color="auto" w:fill="FFFFFF"/>
            <w:vAlign w:val="center"/>
          </w:tcPr>
          <w:p w:rsidR="003D4CFF" w:rsidRPr="008F058E" w:rsidRDefault="003D4CFF" w:rsidP="003D4CFF">
            <w:pPr>
              <w:pStyle w:val="CETBodytext"/>
              <w:rPr>
                <w:rFonts w:cs="Arial"/>
                <w:bCs/>
                <w:szCs w:val="18"/>
                <w:lang w:val="en-GB"/>
              </w:rPr>
            </w:pPr>
            <w:r w:rsidRPr="008F058E">
              <w:rPr>
                <w:rFonts w:cs="Arial"/>
                <w:bCs/>
                <w:szCs w:val="18"/>
                <w:lang w:val="ru-RU" w:eastAsia="ru-RU"/>
              </w:rPr>
              <w:t>Mortality, n</w:t>
            </w:r>
          </w:p>
        </w:tc>
        <w:tc>
          <w:tcPr>
            <w:tcW w:w="1207" w:type="dxa"/>
            <w:tcBorders>
              <w:top w:val="single" w:sz="12" w:space="0" w:color="008000"/>
              <w:bottom w:val="single" w:sz="6" w:space="0" w:color="008000"/>
            </w:tcBorders>
            <w:shd w:val="clear" w:color="auto" w:fill="FFFFFF"/>
            <w:vAlign w:val="center"/>
          </w:tcPr>
          <w:p w:rsidR="003D4CFF" w:rsidRPr="008F058E" w:rsidRDefault="003D4CFF" w:rsidP="003D4CFF">
            <w:pPr>
              <w:pStyle w:val="CETBodytext"/>
              <w:rPr>
                <w:rFonts w:cs="Arial"/>
                <w:szCs w:val="18"/>
                <w:lang w:val="en-GB"/>
              </w:rPr>
            </w:pPr>
            <w:r w:rsidRPr="008F058E">
              <w:rPr>
                <w:rFonts w:cs="Arial"/>
                <w:bCs/>
                <w:szCs w:val="18"/>
                <w:lang w:val="ru-RU" w:eastAsia="ru-RU"/>
              </w:rPr>
              <w:t>Mortality, %</w:t>
            </w:r>
          </w:p>
        </w:tc>
        <w:tc>
          <w:tcPr>
            <w:tcW w:w="2171" w:type="dxa"/>
            <w:vAlign w:val="center"/>
          </w:tcPr>
          <w:p w:rsidR="003D4CFF" w:rsidRPr="008F058E" w:rsidRDefault="003D4CFF" w:rsidP="003D4CFF">
            <w:pPr>
              <w:tabs>
                <w:tab w:val="clear" w:pos="7100"/>
              </w:tabs>
              <w:spacing w:after="200" w:line="276" w:lineRule="auto"/>
              <w:jc w:val="left"/>
              <w:rPr>
                <w:rFonts w:cs="Arial"/>
                <w:bCs/>
                <w:szCs w:val="18"/>
                <w:lang w:val="ru-RU" w:eastAsia="ru-RU"/>
              </w:rPr>
            </w:pPr>
            <w:r w:rsidRPr="008F058E">
              <w:rPr>
                <w:rFonts w:cs="Arial"/>
                <w:bCs/>
                <w:szCs w:val="18"/>
                <w:lang w:val="ru-RU" w:eastAsia="ru-RU"/>
              </w:rPr>
              <w:t>Observed response</w:t>
            </w:r>
          </w:p>
        </w:tc>
      </w:tr>
      <w:tr w:rsidR="003D4CFF" w:rsidRPr="008F058E" w:rsidTr="008F058E">
        <w:trPr>
          <w:trHeight w:val="368"/>
        </w:trPr>
        <w:tc>
          <w:tcPr>
            <w:tcW w:w="1726" w:type="dxa"/>
            <w:shd w:val="clear" w:color="auto" w:fill="FFFFFF"/>
            <w:vAlign w:val="center"/>
          </w:tcPr>
          <w:p w:rsidR="003D4CFF" w:rsidRPr="008F058E" w:rsidRDefault="003D4CFF" w:rsidP="003D4CFF">
            <w:pPr>
              <w:pStyle w:val="CETBodytext"/>
              <w:rPr>
                <w:rFonts w:cs="Arial"/>
                <w:szCs w:val="18"/>
              </w:rPr>
            </w:pPr>
            <w:r w:rsidRPr="008F058E">
              <w:rPr>
                <w:rFonts w:cs="Arial"/>
                <w:szCs w:val="18"/>
                <w:lang w:val="ru-RU" w:eastAsia="ru-RU"/>
              </w:rPr>
              <w:t>500</w:t>
            </w:r>
          </w:p>
        </w:tc>
        <w:tc>
          <w:tcPr>
            <w:tcW w:w="2015" w:type="dxa"/>
            <w:shd w:val="clear" w:color="auto" w:fill="FFFFFF"/>
            <w:vAlign w:val="center"/>
          </w:tcPr>
          <w:p w:rsidR="003D4CFF" w:rsidRPr="008F058E" w:rsidRDefault="003D4CFF" w:rsidP="003D4CFF">
            <w:pPr>
              <w:pStyle w:val="CETBodytext"/>
              <w:rPr>
                <w:rFonts w:cs="Arial"/>
                <w:szCs w:val="18"/>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rPr>
                <w:rFonts w:cs="Arial"/>
                <w:szCs w:val="18"/>
                <w:lang w:val="en-GB"/>
              </w:rPr>
            </w:pPr>
            <w:r w:rsidRPr="008F058E">
              <w:rPr>
                <w:rFonts w:cs="Arial"/>
                <w:szCs w:val="18"/>
                <w:lang w:val="ru-RU" w:eastAsia="ru-RU"/>
              </w:rPr>
              <w:t>0</w:t>
            </w:r>
          </w:p>
        </w:tc>
        <w:tc>
          <w:tcPr>
            <w:tcW w:w="1207" w:type="dxa"/>
            <w:shd w:val="clear" w:color="auto" w:fill="FFFFFF"/>
            <w:vAlign w:val="center"/>
          </w:tcPr>
          <w:p w:rsidR="003D4CFF" w:rsidRPr="008F058E" w:rsidRDefault="003D4CFF" w:rsidP="003D4CFF">
            <w:pPr>
              <w:pStyle w:val="CETBodytext"/>
              <w:rPr>
                <w:rFonts w:cs="Arial"/>
                <w:szCs w:val="18"/>
                <w:lang w:val="en-GB"/>
              </w:rPr>
            </w:pPr>
            <w:r w:rsidRPr="008F058E">
              <w:rPr>
                <w:rFonts w:cs="Arial"/>
                <w:szCs w:val="18"/>
                <w:lang w:val="ru-RU" w:eastAsia="ru-RU"/>
              </w:rPr>
              <w:t>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rPr>
            </w:pPr>
            <w:r w:rsidRPr="008F058E">
              <w:rPr>
                <w:rFonts w:ascii="Arial" w:hAnsi="Arial" w:cs="Arial"/>
                <w:sz w:val="18"/>
                <w:szCs w:val="18"/>
              </w:rPr>
              <w:t>No mortality</w:t>
            </w:r>
          </w:p>
        </w:tc>
      </w:tr>
      <w:tr w:rsidR="003D4CFF" w:rsidRPr="008F058E" w:rsidTr="008F058E">
        <w:trPr>
          <w:trHeight w:val="359"/>
        </w:trPr>
        <w:tc>
          <w:tcPr>
            <w:tcW w:w="1726"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1,000</w:t>
            </w:r>
          </w:p>
        </w:tc>
        <w:tc>
          <w:tcPr>
            <w:tcW w:w="2015"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ind w:right="-1"/>
              <w:rPr>
                <w:rFonts w:cs="Arial"/>
                <w:szCs w:val="18"/>
                <w:lang w:val="en-GB"/>
              </w:rPr>
            </w:pPr>
            <w:r w:rsidRPr="008F058E">
              <w:rPr>
                <w:rFonts w:cs="Arial"/>
                <w:szCs w:val="18"/>
                <w:lang w:val="ru-RU" w:eastAsia="ru-RU"/>
              </w:rPr>
              <w:t>0</w:t>
            </w:r>
          </w:p>
        </w:tc>
        <w:tc>
          <w:tcPr>
            <w:tcW w:w="1207" w:type="dxa"/>
            <w:shd w:val="clear" w:color="auto" w:fill="FFFFFF"/>
            <w:vAlign w:val="center"/>
          </w:tcPr>
          <w:p w:rsidR="003D4CFF" w:rsidRPr="008F058E" w:rsidRDefault="003D4CFF" w:rsidP="003D4CFF">
            <w:pPr>
              <w:pStyle w:val="CETBodytext"/>
              <w:ind w:right="-1"/>
              <w:rPr>
                <w:rFonts w:cs="Arial"/>
                <w:szCs w:val="18"/>
                <w:lang w:val="en-GB"/>
              </w:rPr>
            </w:pPr>
            <w:r w:rsidRPr="008F058E">
              <w:rPr>
                <w:rFonts w:cs="Arial"/>
                <w:szCs w:val="18"/>
                <w:lang w:val="ru-RU" w:eastAsia="ru-RU"/>
              </w:rPr>
              <w:t>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rPr>
            </w:pPr>
            <w:r w:rsidRPr="008F058E">
              <w:rPr>
                <w:rFonts w:ascii="Arial" w:hAnsi="Arial" w:cs="Arial"/>
                <w:sz w:val="18"/>
                <w:szCs w:val="18"/>
              </w:rPr>
              <w:t>No mortality</w:t>
            </w:r>
          </w:p>
        </w:tc>
      </w:tr>
      <w:tr w:rsidR="003D4CFF" w:rsidRPr="008F058E" w:rsidTr="008F058E">
        <w:trPr>
          <w:trHeight w:val="359"/>
        </w:trPr>
        <w:tc>
          <w:tcPr>
            <w:tcW w:w="1726"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1,500</w:t>
            </w:r>
          </w:p>
        </w:tc>
        <w:tc>
          <w:tcPr>
            <w:tcW w:w="2015"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0</w:t>
            </w:r>
          </w:p>
        </w:tc>
        <w:tc>
          <w:tcPr>
            <w:tcW w:w="1207" w:type="dxa"/>
            <w:shd w:val="clear" w:color="auto" w:fill="FFFFFF"/>
            <w:vAlign w:val="center"/>
          </w:tcPr>
          <w:p w:rsidR="003D4CFF" w:rsidRPr="008F058E" w:rsidRDefault="003D4CFF" w:rsidP="003D4CFF">
            <w:pPr>
              <w:pStyle w:val="CETBodytext"/>
              <w:ind w:right="-1"/>
              <w:rPr>
                <w:rFonts w:cs="Arial"/>
                <w:szCs w:val="18"/>
                <w:lang w:val="uz-Cyrl-UZ"/>
              </w:rPr>
            </w:pPr>
            <w:r w:rsidRPr="008F058E">
              <w:rPr>
                <w:rFonts w:cs="Arial"/>
                <w:szCs w:val="18"/>
                <w:lang w:val="ru-RU" w:eastAsia="ru-RU"/>
              </w:rPr>
              <w:t>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rPr>
            </w:pPr>
            <w:r w:rsidRPr="008F058E">
              <w:rPr>
                <w:rFonts w:ascii="Arial" w:hAnsi="Arial" w:cs="Arial"/>
                <w:sz w:val="18"/>
                <w:szCs w:val="18"/>
              </w:rPr>
              <w:t>No mortality</w:t>
            </w:r>
          </w:p>
        </w:tc>
      </w:tr>
      <w:tr w:rsidR="003D4CFF" w:rsidRPr="008F058E" w:rsidTr="008F058E">
        <w:trPr>
          <w:trHeight w:val="359"/>
        </w:trPr>
        <w:tc>
          <w:tcPr>
            <w:tcW w:w="1726"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2,000</w:t>
            </w:r>
          </w:p>
        </w:tc>
        <w:tc>
          <w:tcPr>
            <w:tcW w:w="2015"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0</w:t>
            </w:r>
          </w:p>
        </w:tc>
        <w:tc>
          <w:tcPr>
            <w:tcW w:w="1207" w:type="dxa"/>
            <w:shd w:val="clear" w:color="auto" w:fill="FFFFFF"/>
            <w:vAlign w:val="center"/>
          </w:tcPr>
          <w:p w:rsidR="003D4CFF" w:rsidRPr="008F058E" w:rsidRDefault="003D4CFF" w:rsidP="003D4CFF">
            <w:pPr>
              <w:pStyle w:val="CETBodytext"/>
              <w:ind w:right="-1"/>
              <w:rPr>
                <w:rFonts w:cs="Arial"/>
                <w:szCs w:val="18"/>
                <w:lang w:val="uz-Cyrl-UZ"/>
              </w:rPr>
            </w:pPr>
            <w:r w:rsidRPr="008F058E">
              <w:rPr>
                <w:rFonts w:cs="Arial"/>
                <w:szCs w:val="18"/>
                <w:lang w:val="ru-RU" w:eastAsia="ru-RU"/>
              </w:rPr>
              <w:t>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lang w:val="en-US"/>
              </w:rPr>
            </w:pPr>
            <w:r w:rsidRPr="008F058E">
              <w:rPr>
                <w:rFonts w:ascii="Arial" w:hAnsi="Arial" w:cs="Arial"/>
                <w:sz w:val="18"/>
                <w:szCs w:val="18"/>
                <w:lang w:val="en-US"/>
              </w:rPr>
              <w:t>Transient excitation and reduced motor activity</w:t>
            </w:r>
          </w:p>
        </w:tc>
      </w:tr>
      <w:tr w:rsidR="003D4CFF" w:rsidRPr="008F058E" w:rsidTr="008F058E">
        <w:trPr>
          <w:trHeight w:val="359"/>
        </w:trPr>
        <w:tc>
          <w:tcPr>
            <w:tcW w:w="1726"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2,500</w:t>
            </w:r>
          </w:p>
        </w:tc>
        <w:tc>
          <w:tcPr>
            <w:tcW w:w="2015"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ind w:right="-1"/>
              <w:rPr>
                <w:rFonts w:cs="Arial"/>
                <w:szCs w:val="18"/>
              </w:rPr>
            </w:pPr>
            <w:r w:rsidRPr="008F058E">
              <w:rPr>
                <w:rFonts w:cs="Arial"/>
                <w:szCs w:val="18"/>
                <w:lang w:val="ru-RU" w:eastAsia="ru-RU"/>
              </w:rPr>
              <w:t>0</w:t>
            </w:r>
          </w:p>
        </w:tc>
        <w:tc>
          <w:tcPr>
            <w:tcW w:w="1207" w:type="dxa"/>
            <w:shd w:val="clear" w:color="auto" w:fill="FFFFFF"/>
            <w:vAlign w:val="center"/>
          </w:tcPr>
          <w:p w:rsidR="003D4CFF" w:rsidRPr="008F058E" w:rsidRDefault="003D4CFF" w:rsidP="003D4CFF">
            <w:pPr>
              <w:pStyle w:val="CETBodytext"/>
              <w:ind w:right="-1"/>
              <w:rPr>
                <w:rFonts w:cs="Arial"/>
                <w:szCs w:val="18"/>
                <w:lang w:val="uz-Cyrl-UZ"/>
              </w:rPr>
            </w:pPr>
            <w:r w:rsidRPr="008F058E">
              <w:rPr>
                <w:rFonts w:cs="Arial"/>
                <w:szCs w:val="18"/>
                <w:lang w:val="ru-RU" w:eastAsia="ru-RU"/>
              </w:rPr>
              <w:t>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rPr>
            </w:pPr>
            <w:r w:rsidRPr="008F058E">
              <w:rPr>
                <w:rFonts w:ascii="Arial" w:hAnsi="Arial" w:cs="Arial"/>
                <w:sz w:val="18"/>
                <w:szCs w:val="18"/>
              </w:rPr>
              <w:t>No mortality</w:t>
            </w:r>
          </w:p>
        </w:tc>
      </w:tr>
      <w:tr w:rsidR="003D4CFF" w:rsidRPr="008F058E" w:rsidTr="008F058E">
        <w:trPr>
          <w:trHeight w:val="359"/>
        </w:trPr>
        <w:tc>
          <w:tcPr>
            <w:tcW w:w="1726"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3,000</w:t>
            </w:r>
          </w:p>
        </w:tc>
        <w:tc>
          <w:tcPr>
            <w:tcW w:w="2015"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1</w:t>
            </w:r>
          </w:p>
        </w:tc>
        <w:tc>
          <w:tcPr>
            <w:tcW w:w="1207"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20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rPr>
            </w:pPr>
            <w:r w:rsidRPr="008F058E">
              <w:rPr>
                <w:rFonts w:ascii="Arial" w:hAnsi="Arial" w:cs="Arial"/>
                <w:sz w:val="18"/>
                <w:szCs w:val="18"/>
              </w:rPr>
              <w:t>First lethal effects</w:t>
            </w:r>
          </w:p>
        </w:tc>
      </w:tr>
      <w:tr w:rsidR="003D4CFF" w:rsidRPr="008F058E" w:rsidTr="008F058E">
        <w:trPr>
          <w:trHeight w:val="359"/>
        </w:trPr>
        <w:tc>
          <w:tcPr>
            <w:tcW w:w="1726"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3,500</w:t>
            </w:r>
          </w:p>
        </w:tc>
        <w:tc>
          <w:tcPr>
            <w:tcW w:w="2015"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2</w:t>
            </w:r>
          </w:p>
        </w:tc>
        <w:tc>
          <w:tcPr>
            <w:tcW w:w="1207"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40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rPr>
            </w:pPr>
            <w:r w:rsidRPr="008F058E">
              <w:rPr>
                <w:rFonts w:ascii="Arial" w:hAnsi="Arial" w:cs="Arial"/>
                <w:sz w:val="18"/>
                <w:szCs w:val="18"/>
              </w:rPr>
              <w:t>Increased mortality</w:t>
            </w:r>
          </w:p>
        </w:tc>
      </w:tr>
      <w:tr w:rsidR="003D4CFF" w:rsidRPr="008F058E" w:rsidTr="008F058E">
        <w:trPr>
          <w:trHeight w:val="359"/>
        </w:trPr>
        <w:tc>
          <w:tcPr>
            <w:tcW w:w="1726"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4,000</w:t>
            </w:r>
          </w:p>
        </w:tc>
        <w:tc>
          <w:tcPr>
            <w:tcW w:w="2015"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5</w:t>
            </w:r>
          </w:p>
        </w:tc>
        <w:tc>
          <w:tcPr>
            <w:tcW w:w="1206"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5</w:t>
            </w:r>
          </w:p>
        </w:tc>
        <w:tc>
          <w:tcPr>
            <w:tcW w:w="1207" w:type="dxa"/>
            <w:shd w:val="clear" w:color="auto" w:fill="FFFFFF"/>
            <w:vAlign w:val="center"/>
          </w:tcPr>
          <w:p w:rsidR="003D4CFF" w:rsidRPr="008F058E" w:rsidRDefault="003D4CFF" w:rsidP="003D4CFF">
            <w:pPr>
              <w:pStyle w:val="CETBodytext"/>
              <w:ind w:right="-1"/>
              <w:rPr>
                <w:rFonts w:cs="Arial"/>
                <w:szCs w:val="18"/>
                <w:lang w:val="ru-RU" w:eastAsia="ru-RU"/>
              </w:rPr>
            </w:pPr>
            <w:r w:rsidRPr="008F058E">
              <w:rPr>
                <w:rFonts w:cs="Arial"/>
                <w:szCs w:val="18"/>
                <w:lang w:val="ru-RU" w:eastAsia="ru-RU"/>
              </w:rPr>
              <w:t>100</w:t>
            </w:r>
          </w:p>
        </w:tc>
        <w:tc>
          <w:tcPr>
            <w:tcW w:w="2171" w:type="dxa"/>
            <w:shd w:val="clear" w:color="auto" w:fill="FFFFFF"/>
            <w:vAlign w:val="center"/>
          </w:tcPr>
          <w:p w:rsidR="003D4CFF" w:rsidRPr="008F058E" w:rsidRDefault="003D4CFF" w:rsidP="003D4CFF">
            <w:pPr>
              <w:pStyle w:val="leading-8"/>
              <w:spacing w:before="0" w:beforeAutospacing="0" w:after="0" w:afterAutospacing="0"/>
              <w:rPr>
                <w:rFonts w:ascii="Arial" w:hAnsi="Arial" w:cs="Arial"/>
                <w:sz w:val="18"/>
                <w:szCs w:val="18"/>
              </w:rPr>
            </w:pPr>
            <w:r w:rsidRPr="008F058E">
              <w:rPr>
                <w:rFonts w:ascii="Arial" w:hAnsi="Arial" w:cs="Arial"/>
                <w:sz w:val="18"/>
                <w:szCs w:val="18"/>
              </w:rPr>
              <w:t>Complete mortality</w:t>
            </w:r>
          </w:p>
        </w:tc>
      </w:tr>
    </w:tbl>
    <w:p w:rsidR="00DB6332" w:rsidRPr="008F058E" w:rsidRDefault="00DB6332" w:rsidP="00D0719E">
      <w:pPr>
        <w:pStyle w:val="affff1"/>
        <w:rPr>
          <w:rFonts w:cs="Arial"/>
          <w:sz w:val="18"/>
          <w:szCs w:val="18"/>
        </w:rPr>
      </w:pPr>
    </w:p>
    <w:p w:rsidR="005D6C27" w:rsidRPr="008F058E" w:rsidRDefault="005D6C27" w:rsidP="005D6C27">
      <w:pPr>
        <w:pStyle w:val="leading-8"/>
        <w:spacing w:before="0" w:beforeAutospacing="0" w:after="0" w:afterAutospacing="0"/>
        <w:jc w:val="both"/>
        <w:rPr>
          <w:rFonts w:ascii="Arial" w:hAnsi="Arial" w:cs="Arial"/>
          <w:b/>
          <w:sz w:val="18"/>
          <w:szCs w:val="18"/>
          <w:lang w:val="en-US"/>
        </w:rPr>
      </w:pPr>
      <w:r w:rsidRPr="008F058E">
        <w:rPr>
          <w:rFonts w:ascii="Arial" w:hAnsi="Arial" w:cs="Arial"/>
          <w:sz w:val="18"/>
          <w:szCs w:val="18"/>
          <w:lang w:val="en-US"/>
        </w:rPr>
        <w:t>No mortality was observed at doses of 500–2,500 mg/kg. At 3,000 mg/kg, mortality was 20% (1/5 animals), while mortality increased to 40% (2/5 animals) at 3,500 mg/kg. At 4,000 mg/kg, mortality reached 100% (5/5 animals). Transient excitation and reduced motor activity were observed at 2,000 mg/kg. These findings demonstrate a dose-dependent acute toxicological response to the synthesized DAVE monomer.</w:t>
      </w:r>
    </w:p>
    <w:p w:rsidR="005653A1" w:rsidRDefault="005653A1" w:rsidP="00D0719E">
      <w:pPr>
        <w:pStyle w:val="leading-8"/>
        <w:spacing w:before="0" w:beforeAutospacing="0" w:after="0" w:afterAutospacing="0"/>
        <w:rPr>
          <w:rFonts w:ascii="Arial" w:hAnsi="Arial" w:cs="Arial"/>
          <w:b/>
          <w:sz w:val="18"/>
          <w:szCs w:val="18"/>
          <w:lang w:val="en-US"/>
        </w:rPr>
      </w:pPr>
    </w:p>
    <w:p w:rsidR="00D0719E" w:rsidRPr="008F058E" w:rsidRDefault="00D0719E" w:rsidP="00D0719E">
      <w:pPr>
        <w:pStyle w:val="leading-8"/>
        <w:spacing w:before="0" w:beforeAutospacing="0" w:after="0" w:afterAutospacing="0"/>
        <w:rPr>
          <w:rFonts w:ascii="Arial" w:hAnsi="Arial" w:cs="Arial"/>
          <w:b/>
          <w:sz w:val="18"/>
          <w:szCs w:val="18"/>
          <w:lang w:val="en-US"/>
        </w:rPr>
      </w:pPr>
      <w:r w:rsidRPr="008F058E">
        <w:rPr>
          <w:rFonts w:ascii="Arial" w:hAnsi="Arial" w:cs="Arial"/>
          <w:b/>
          <w:sz w:val="18"/>
          <w:szCs w:val="18"/>
          <w:lang w:val="en-US"/>
        </w:rPr>
        <w:t>3.</w:t>
      </w:r>
      <w:r w:rsidR="005653A1">
        <w:rPr>
          <w:rFonts w:ascii="Arial" w:hAnsi="Arial" w:cs="Arial"/>
          <w:b/>
          <w:sz w:val="18"/>
          <w:szCs w:val="18"/>
          <w:lang w:val="en-US"/>
        </w:rPr>
        <w:t>5</w:t>
      </w:r>
      <w:r w:rsidRPr="008F058E">
        <w:rPr>
          <w:rFonts w:ascii="Arial" w:hAnsi="Arial" w:cs="Arial"/>
          <w:b/>
          <w:sz w:val="18"/>
          <w:szCs w:val="18"/>
          <w:lang w:val="en-US"/>
        </w:rPr>
        <w:t xml:space="preserve"> Local irritation of oral mucosa</w:t>
      </w:r>
    </w:p>
    <w:p w:rsidR="00D0719E" w:rsidRPr="008F058E" w:rsidRDefault="00D0719E" w:rsidP="00D0719E">
      <w:pPr>
        <w:tabs>
          <w:tab w:val="clear" w:pos="7100"/>
        </w:tabs>
        <w:spacing w:line="240" w:lineRule="auto"/>
        <w:ind w:firstLine="708"/>
        <w:rPr>
          <w:rFonts w:cs="Arial"/>
          <w:szCs w:val="18"/>
          <w:lang w:val="en-US" w:eastAsia="ru-RU"/>
        </w:rPr>
      </w:pPr>
      <w:r w:rsidRPr="008F058E">
        <w:rPr>
          <w:rFonts w:cs="Arial"/>
          <w:szCs w:val="18"/>
          <w:lang w:val="en-US" w:eastAsia="ru-RU"/>
        </w:rPr>
        <w:t xml:space="preserve">In the second stage of the study, the local irritant effect of the di (met) acrylic ether-based dental composite material was evaluated using direct contact methods on laboratory rabbits. 12 clinically healthy </w:t>
      </w:r>
      <w:r w:rsidRPr="008F058E">
        <w:rPr>
          <w:rFonts w:cs="Arial"/>
          <w:szCs w:val="18"/>
          <w:lang w:val="en-US" w:eastAsia="ru-RU"/>
        </w:rPr>
        <w:lastRenderedPageBreak/>
        <w:t>animals weighing 2.5–3.0 kg were used in the experiment. Animals were housed under conventional vivarium conditions 5 days before the beginning of the experiment. Samples of the dental composite material under study were prepared in equal sizes under sterile conditions. In experimental groups sterile swab with 0.1 g, 0.2 g and 0.3 g of samples were applied on cheek mucosa of animals for 30 minutes.</w:t>
      </w:r>
    </w:p>
    <w:p w:rsidR="00D0719E" w:rsidRPr="008F058E" w:rsidRDefault="00D0719E" w:rsidP="00D0719E">
      <w:pPr>
        <w:pStyle w:val="aff1"/>
        <w:shd w:val="clear" w:color="auto" w:fill="FFFFFF"/>
        <w:spacing w:line="240" w:lineRule="auto"/>
        <w:ind w:firstLine="567"/>
        <w:rPr>
          <w:rFonts w:cs="Arial"/>
          <w:sz w:val="18"/>
          <w:szCs w:val="18"/>
          <w:lang w:val="en-US"/>
        </w:rPr>
      </w:pPr>
      <w:r w:rsidRPr="008F058E">
        <w:rPr>
          <w:rFonts w:cs="Arial"/>
          <w:sz w:val="18"/>
          <w:szCs w:val="18"/>
          <w:lang w:val="en-US" w:eastAsia="ru-RU"/>
        </w:rPr>
        <w:t>Equal-sized samples of the dental composite material under consideration were prepared under sterile conditions. In the experimental groups, +0.1 g, 0.2 g and 0.3 g samples were used.</w:t>
      </w:r>
      <w:r w:rsidR="004D0ABA" w:rsidRPr="008F058E">
        <w:rPr>
          <w:rFonts w:cs="Arial"/>
          <w:sz w:val="18"/>
          <w:szCs w:val="18"/>
          <w:lang w:val="uz-Cyrl-UZ" w:eastAsia="ru-RU"/>
        </w:rPr>
        <w:t xml:space="preserve"> </w:t>
      </w:r>
      <w:r w:rsidRPr="008F058E">
        <w:rPr>
          <w:rFonts w:cs="Arial"/>
          <w:sz w:val="18"/>
          <w:szCs w:val="18"/>
          <w:lang w:val="en-US" w:eastAsia="ru-RU"/>
        </w:rPr>
        <w:t>Clinical indicators of the state of the oral mucous membrane were analyzed for quantitative assessment of the local tolerance of the composite material (Table. 2).</w:t>
      </w:r>
    </w:p>
    <w:p w:rsidR="00187527" w:rsidRPr="008F058E" w:rsidRDefault="00187527" w:rsidP="00187527">
      <w:pPr>
        <w:tabs>
          <w:tab w:val="clear" w:pos="7100"/>
          <w:tab w:val="right" w:pos="0"/>
        </w:tabs>
        <w:spacing w:line="240" w:lineRule="auto"/>
        <w:rPr>
          <w:rFonts w:cs="Arial"/>
          <w:color w:val="000000"/>
          <w:szCs w:val="18"/>
          <w:lang w:val="en-US"/>
        </w:rPr>
      </w:pPr>
      <w:r w:rsidRPr="008F058E">
        <w:rPr>
          <w:rFonts w:cs="Arial"/>
          <w:color w:val="000000"/>
          <w:szCs w:val="18"/>
        </w:rPr>
        <w:tab/>
        <w:t xml:space="preserve">The data presented in Table 2 clearly show that in all experimental groups, regardless of the sample weight (0.1–0.3 g), there were no signs of mucosal irritation. </w:t>
      </w:r>
      <w:r w:rsidRPr="008F058E">
        <w:rPr>
          <w:rFonts w:cs="Arial"/>
          <w:color w:val="000000"/>
          <w:szCs w:val="18"/>
          <w:lang w:val="en-US"/>
        </w:rPr>
        <w:t>The general condition of the animals remained stable, and the survival rate was 100% in all cases. This indicates the absence of local irritant action in the studied composite material.</w:t>
      </w:r>
    </w:p>
    <w:p w:rsidR="00187527" w:rsidRPr="008F058E" w:rsidRDefault="00187527" w:rsidP="00D70CAE">
      <w:pPr>
        <w:spacing w:line="240" w:lineRule="auto"/>
        <w:rPr>
          <w:rFonts w:cs="Arial"/>
          <w:bCs/>
          <w:i/>
          <w:iCs/>
          <w:color w:val="000000"/>
          <w:szCs w:val="18"/>
          <w:lang w:val="uz-Cyrl-UZ"/>
        </w:rPr>
      </w:pPr>
    </w:p>
    <w:p w:rsidR="00D0719E" w:rsidRPr="008F058E" w:rsidRDefault="00D0719E" w:rsidP="004571B8">
      <w:pPr>
        <w:spacing w:line="240" w:lineRule="auto"/>
        <w:ind w:firstLine="567"/>
        <w:rPr>
          <w:rFonts w:cs="Arial"/>
          <w:bCs/>
          <w:iCs/>
          <w:color w:val="000000"/>
          <w:szCs w:val="18"/>
          <w:lang w:val="uz-Cyrl-UZ"/>
        </w:rPr>
      </w:pPr>
      <w:r w:rsidRPr="008F058E">
        <w:rPr>
          <w:rFonts w:cs="Arial"/>
          <w:bCs/>
          <w:iCs/>
          <w:color w:val="000000"/>
          <w:szCs w:val="18"/>
          <w:lang w:val="uz-Cyrl-UZ"/>
        </w:rPr>
        <w:t>Table 2</w:t>
      </w:r>
      <w:r w:rsidR="00224664" w:rsidRPr="008F058E">
        <w:rPr>
          <w:rFonts w:cs="Arial"/>
          <w:bCs/>
          <w:iCs/>
          <w:color w:val="000000"/>
          <w:szCs w:val="18"/>
          <w:lang w:val="en-US"/>
        </w:rPr>
        <w:t>:</w:t>
      </w:r>
      <w:r w:rsidRPr="008F058E">
        <w:rPr>
          <w:rFonts w:cs="Arial"/>
          <w:bCs/>
          <w:iCs/>
          <w:color w:val="000000"/>
          <w:szCs w:val="18"/>
          <w:lang w:val="en-US"/>
        </w:rPr>
        <w:t xml:space="preserve"> </w:t>
      </w:r>
      <w:r w:rsidRPr="008F058E">
        <w:rPr>
          <w:rFonts w:cs="Arial"/>
          <w:bCs/>
          <w:iCs/>
          <w:szCs w:val="18"/>
        </w:rPr>
        <w:t>Evaluation of local irritant effect on oral mucosa</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336"/>
        <w:gridCol w:w="1039"/>
        <w:gridCol w:w="1039"/>
        <w:gridCol w:w="1039"/>
        <w:gridCol w:w="1485"/>
        <w:gridCol w:w="2821"/>
      </w:tblGrid>
      <w:tr w:rsidR="00224664" w:rsidRPr="008F058E" w:rsidTr="00224664">
        <w:trPr>
          <w:trHeight w:val="585"/>
        </w:trPr>
        <w:tc>
          <w:tcPr>
            <w:tcW w:w="1336" w:type="dxa"/>
            <w:tcBorders>
              <w:top w:val="single" w:sz="12" w:space="0" w:color="008000"/>
              <w:bottom w:val="single" w:sz="6" w:space="0" w:color="008000"/>
            </w:tcBorders>
            <w:shd w:val="clear" w:color="auto" w:fill="FFFFFF"/>
          </w:tcPr>
          <w:p w:rsidR="00224664" w:rsidRPr="008F058E" w:rsidRDefault="00224664" w:rsidP="00224664">
            <w:pPr>
              <w:pStyle w:val="CETBodytext"/>
              <w:rPr>
                <w:rStyle w:val="affff2"/>
                <w:rFonts w:cs="Arial"/>
                <w:b w:val="0"/>
                <w:bCs w:val="0"/>
                <w:szCs w:val="18"/>
              </w:rPr>
            </w:pPr>
            <w:r w:rsidRPr="008F058E">
              <w:rPr>
                <w:rFonts w:cs="Arial"/>
                <w:szCs w:val="18"/>
                <w:lang w:val="ru-RU" w:eastAsia="ru-RU"/>
              </w:rPr>
              <w:t>Group</w:t>
            </w:r>
          </w:p>
        </w:tc>
        <w:tc>
          <w:tcPr>
            <w:tcW w:w="1039" w:type="dxa"/>
            <w:tcBorders>
              <w:top w:val="single" w:sz="12" w:space="0" w:color="008000"/>
              <w:bottom w:val="single" w:sz="6" w:space="0" w:color="008000"/>
            </w:tcBorders>
            <w:shd w:val="clear" w:color="auto" w:fill="FFFFFF"/>
          </w:tcPr>
          <w:p w:rsidR="00224664" w:rsidRPr="008F058E" w:rsidRDefault="00224664" w:rsidP="00224664">
            <w:pPr>
              <w:tabs>
                <w:tab w:val="clear" w:pos="7100"/>
              </w:tabs>
              <w:spacing w:line="240" w:lineRule="auto"/>
              <w:jc w:val="left"/>
              <w:rPr>
                <w:rFonts w:cs="Arial"/>
                <w:szCs w:val="18"/>
                <w:lang w:val="ru-RU" w:eastAsia="ru-RU"/>
              </w:rPr>
            </w:pPr>
            <w:r w:rsidRPr="008F058E">
              <w:rPr>
                <w:rFonts w:cs="Arial"/>
                <w:szCs w:val="18"/>
                <w:lang w:val="ru-RU" w:eastAsia="ru-RU"/>
              </w:rPr>
              <w:t>Sample weight, g</w:t>
            </w:r>
          </w:p>
          <w:p w:rsidR="00224664" w:rsidRPr="008F058E" w:rsidRDefault="00224664" w:rsidP="00224664">
            <w:pPr>
              <w:pStyle w:val="CETBodytext"/>
              <w:rPr>
                <w:rStyle w:val="affff2"/>
                <w:rFonts w:cs="Arial"/>
                <w:b w:val="0"/>
                <w:bCs w:val="0"/>
                <w:szCs w:val="18"/>
              </w:rPr>
            </w:pPr>
          </w:p>
        </w:tc>
        <w:tc>
          <w:tcPr>
            <w:tcW w:w="1039" w:type="dxa"/>
            <w:tcBorders>
              <w:top w:val="single" w:sz="12" w:space="0" w:color="008000"/>
              <w:bottom w:val="single" w:sz="6" w:space="0" w:color="008000"/>
            </w:tcBorders>
            <w:shd w:val="clear" w:color="auto" w:fill="FFFFFF"/>
          </w:tcPr>
          <w:p w:rsidR="00224664" w:rsidRPr="008F058E" w:rsidRDefault="00224664" w:rsidP="00224664">
            <w:pPr>
              <w:tabs>
                <w:tab w:val="clear" w:pos="7100"/>
              </w:tabs>
              <w:spacing w:line="240" w:lineRule="auto"/>
              <w:jc w:val="left"/>
              <w:rPr>
                <w:rFonts w:cs="Arial"/>
                <w:szCs w:val="18"/>
                <w:lang w:val="ru-RU" w:eastAsia="ru-RU"/>
              </w:rPr>
            </w:pPr>
            <w:r w:rsidRPr="008F058E">
              <w:rPr>
                <w:rFonts w:cs="Arial"/>
                <w:szCs w:val="18"/>
                <w:lang w:val="ru-RU" w:eastAsia="ru-RU"/>
              </w:rPr>
              <w:t xml:space="preserve">Number of animals </w:t>
            </w:r>
          </w:p>
          <w:p w:rsidR="00224664" w:rsidRPr="008F058E" w:rsidRDefault="00224664" w:rsidP="00224664">
            <w:pPr>
              <w:pStyle w:val="CETBodytext"/>
              <w:rPr>
                <w:rFonts w:cs="Arial"/>
                <w:b/>
                <w:bCs/>
                <w:szCs w:val="18"/>
                <w:lang w:val="en-GB"/>
              </w:rPr>
            </w:pPr>
          </w:p>
        </w:tc>
        <w:tc>
          <w:tcPr>
            <w:tcW w:w="1039" w:type="dxa"/>
            <w:tcBorders>
              <w:top w:val="single" w:sz="12" w:space="0" w:color="008000"/>
              <w:bottom w:val="single" w:sz="6" w:space="0" w:color="008000"/>
            </w:tcBorders>
            <w:shd w:val="clear" w:color="auto" w:fill="FFFFFF"/>
          </w:tcPr>
          <w:p w:rsidR="00224664" w:rsidRPr="008F058E" w:rsidRDefault="00224664" w:rsidP="00224664">
            <w:pPr>
              <w:tabs>
                <w:tab w:val="clear" w:pos="7100"/>
              </w:tabs>
              <w:spacing w:line="240" w:lineRule="auto"/>
              <w:jc w:val="left"/>
              <w:rPr>
                <w:rFonts w:cs="Arial"/>
                <w:szCs w:val="18"/>
                <w:lang w:val="ru-RU" w:eastAsia="ru-RU"/>
              </w:rPr>
            </w:pPr>
            <w:r w:rsidRPr="008F058E">
              <w:rPr>
                <w:rFonts w:cs="Arial"/>
                <w:szCs w:val="18"/>
                <w:lang w:val="ru-RU" w:eastAsia="ru-RU"/>
              </w:rPr>
              <w:t xml:space="preserve">Irritation symptoms </w:t>
            </w:r>
          </w:p>
          <w:p w:rsidR="00224664" w:rsidRPr="008F058E" w:rsidRDefault="00224664" w:rsidP="00224664">
            <w:pPr>
              <w:pStyle w:val="CETBodytext"/>
              <w:rPr>
                <w:rFonts w:cs="Arial"/>
                <w:szCs w:val="18"/>
                <w:lang w:val="en-GB"/>
              </w:rPr>
            </w:pPr>
          </w:p>
        </w:tc>
        <w:tc>
          <w:tcPr>
            <w:tcW w:w="1485" w:type="dxa"/>
            <w:tcBorders>
              <w:top w:val="single" w:sz="12" w:space="0" w:color="008000"/>
              <w:bottom w:val="single" w:sz="6" w:space="0" w:color="008000"/>
            </w:tcBorders>
            <w:shd w:val="clear" w:color="auto" w:fill="FFFFFF"/>
          </w:tcPr>
          <w:p w:rsidR="00224664" w:rsidRPr="008F058E" w:rsidRDefault="00224664" w:rsidP="00224664">
            <w:pPr>
              <w:tabs>
                <w:tab w:val="clear" w:pos="7100"/>
              </w:tabs>
              <w:spacing w:line="240" w:lineRule="auto"/>
              <w:jc w:val="left"/>
              <w:rPr>
                <w:rFonts w:cs="Arial"/>
                <w:szCs w:val="18"/>
                <w:lang w:val="ru-RU" w:eastAsia="ru-RU"/>
              </w:rPr>
            </w:pPr>
            <w:r w:rsidRPr="008F058E">
              <w:rPr>
                <w:rFonts w:cs="Arial"/>
                <w:szCs w:val="18"/>
                <w:lang w:val="ru-RU" w:eastAsia="ru-RU"/>
              </w:rPr>
              <w:t>General condition</w:t>
            </w:r>
          </w:p>
          <w:p w:rsidR="00224664" w:rsidRPr="008F058E" w:rsidRDefault="00224664" w:rsidP="00224664">
            <w:pPr>
              <w:pStyle w:val="CETBodytext"/>
              <w:ind w:right="-1"/>
              <w:rPr>
                <w:rFonts w:cs="Arial"/>
                <w:szCs w:val="18"/>
                <w:lang w:val="en-GB"/>
              </w:rPr>
            </w:pPr>
          </w:p>
        </w:tc>
        <w:tc>
          <w:tcPr>
            <w:tcW w:w="2821" w:type="dxa"/>
            <w:tcBorders>
              <w:top w:val="single" w:sz="12" w:space="0" w:color="008000"/>
              <w:bottom w:val="single" w:sz="6" w:space="0" w:color="008000"/>
            </w:tcBorders>
            <w:shd w:val="clear" w:color="auto" w:fill="FFFFFF"/>
            <w:vAlign w:val="center"/>
          </w:tcPr>
          <w:p w:rsidR="00224664" w:rsidRPr="008F058E" w:rsidRDefault="00224664" w:rsidP="00224664">
            <w:pPr>
              <w:tabs>
                <w:tab w:val="clear" w:pos="7100"/>
              </w:tabs>
              <w:spacing w:line="240" w:lineRule="auto"/>
              <w:jc w:val="left"/>
              <w:rPr>
                <w:rFonts w:cs="Arial"/>
                <w:szCs w:val="18"/>
                <w:lang w:val="ru-RU" w:eastAsia="ru-RU"/>
              </w:rPr>
            </w:pPr>
            <w:r w:rsidRPr="008F058E">
              <w:rPr>
                <w:rFonts w:cs="Arial"/>
                <w:szCs w:val="18"/>
                <w:lang w:val="ru-RU" w:eastAsia="ru-RU"/>
              </w:rPr>
              <w:t>Survival rate, %</w:t>
            </w:r>
          </w:p>
          <w:p w:rsidR="00224664" w:rsidRPr="008F058E" w:rsidRDefault="00224664" w:rsidP="00224664">
            <w:pPr>
              <w:pStyle w:val="CETBodytext"/>
              <w:ind w:right="-1"/>
              <w:rPr>
                <w:rFonts w:cs="Arial"/>
                <w:szCs w:val="18"/>
                <w:lang w:val="en-GB"/>
              </w:rPr>
            </w:pPr>
          </w:p>
        </w:tc>
      </w:tr>
      <w:tr w:rsidR="00224664" w:rsidRPr="008F058E" w:rsidTr="00224664">
        <w:trPr>
          <w:trHeight w:val="397"/>
        </w:trPr>
        <w:tc>
          <w:tcPr>
            <w:tcW w:w="1336" w:type="dxa"/>
            <w:shd w:val="clear" w:color="auto" w:fill="FFFFFF"/>
            <w:vAlign w:val="center"/>
          </w:tcPr>
          <w:p w:rsidR="00224664" w:rsidRPr="008F058E" w:rsidRDefault="00224664" w:rsidP="00224664">
            <w:pPr>
              <w:tabs>
                <w:tab w:val="clear" w:pos="7100"/>
              </w:tabs>
              <w:spacing w:line="240" w:lineRule="auto"/>
              <w:jc w:val="left"/>
              <w:rPr>
                <w:rFonts w:cs="Arial"/>
                <w:szCs w:val="18"/>
                <w:lang w:val="ru-RU" w:eastAsia="ru-RU"/>
              </w:rPr>
            </w:pPr>
            <w:r w:rsidRPr="008F058E">
              <w:rPr>
                <w:rFonts w:cs="Arial"/>
                <w:szCs w:val="18"/>
                <w:lang w:val="ru-RU" w:eastAsia="ru-RU"/>
              </w:rPr>
              <w:t>Control 0</w:t>
            </w:r>
          </w:p>
          <w:p w:rsidR="00224664" w:rsidRPr="008F058E" w:rsidRDefault="00224664" w:rsidP="00224664">
            <w:pPr>
              <w:pStyle w:val="CETBodytext"/>
              <w:rPr>
                <w:rFonts w:cs="Arial"/>
                <w:szCs w:val="18"/>
              </w:rPr>
            </w:pPr>
          </w:p>
        </w:tc>
        <w:tc>
          <w:tcPr>
            <w:tcW w:w="1039" w:type="dxa"/>
            <w:shd w:val="clear" w:color="auto" w:fill="FFFFFF"/>
          </w:tcPr>
          <w:p w:rsidR="00224664" w:rsidRPr="008F058E" w:rsidRDefault="00224664" w:rsidP="00224664">
            <w:pPr>
              <w:pStyle w:val="CETBodytext"/>
              <w:rPr>
                <w:rFonts w:cs="Arial"/>
                <w:szCs w:val="18"/>
              </w:rPr>
            </w:pPr>
            <w:r w:rsidRPr="008F058E">
              <w:rPr>
                <w:rFonts w:cs="Arial"/>
                <w:color w:val="000000"/>
                <w:szCs w:val="18"/>
                <w:lang w:val="uz-Cyrl-UZ"/>
              </w:rPr>
              <w:t>0</w:t>
            </w:r>
          </w:p>
        </w:tc>
        <w:tc>
          <w:tcPr>
            <w:tcW w:w="1039" w:type="dxa"/>
            <w:shd w:val="clear" w:color="auto" w:fill="FFFFFF"/>
          </w:tcPr>
          <w:p w:rsidR="00224664" w:rsidRPr="008F058E" w:rsidRDefault="00224664" w:rsidP="00224664">
            <w:pPr>
              <w:pStyle w:val="CETBodytext"/>
              <w:rPr>
                <w:rFonts w:cs="Arial"/>
                <w:szCs w:val="18"/>
                <w:lang w:val="en-GB"/>
              </w:rPr>
            </w:pPr>
            <w:r w:rsidRPr="008F058E">
              <w:rPr>
                <w:rFonts w:cs="Arial"/>
                <w:color w:val="000000"/>
                <w:szCs w:val="18"/>
                <w:lang w:val="uz-Cyrl-UZ"/>
              </w:rPr>
              <w:t>5</w:t>
            </w:r>
          </w:p>
        </w:tc>
        <w:tc>
          <w:tcPr>
            <w:tcW w:w="1039"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Absent</w:t>
            </w:r>
          </w:p>
          <w:p w:rsidR="00224664" w:rsidRPr="008F058E" w:rsidRDefault="00224664" w:rsidP="00224664">
            <w:pPr>
              <w:pStyle w:val="CETBodytext"/>
              <w:rPr>
                <w:rFonts w:cs="Arial"/>
                <w:szCs w:val="18"/>
                <w:lang w:val="en-GB"/>
              </w:rPr>
            </w:pPr>
          </w:p>
        </w:tc>
        <w:tc>
          <w:tcPr>
            <w:tcW w:w="1485"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Unchanged</w:t>
            </w:r>
          </w:p>
          <w:p w:rsidR="00224664" w:rsidRPr="008F058E" w:rsidRDefault="00224664" w:rsidP="00224664">
            <w:pPr>
              <w:pStyle w:val="CETBodytext"/>
              <w:ind w:right="-1"/>
              <w:rPr>
                <w:rFonts w:cs="Arial"/>
                <w:szCs w:val="18"/>
                <w:lang w:val="en-GB"/>
              </w:rPr>
            </w:pPr>
          </w:p>
        </w:tc>
        <w:tc>
          <w:tcPr>
            <w:tcW w:w="2821" w:type="dxa"/>
            <w:shd w:val="clear" w:color="auto" w:fill="FFFFFF"/>
            <w:vAlign w:val="center"/>
          </w:tcPr>
          <w:p w:rsidR="00224664" w:rsidRPr="008F058E" w:rsidRDefault="00224664" w:rsidP="00224664">
            <w:pPr>
              <w:pStyle w:val="CETBodytext"/>
              <w:ind w:right="-1"/>
              <w:rPr>
                <w:rFonts w:cs="Arial"/>
                <w:szCs w:val="18"/>
                <w:lang w:val="en-GB"/>
              </w:rPr>
            </w:pPr>
            <w:r w:rsidRPr="008F058E">
              <w:rPr>
                <w:rFonts w:cs="Arial"/>
                <w:szCs w:val="18"/>
                <w:lang w:eastAsia="ru-RU"/>
              </w:rPr>
              <w:t>100</w:t>
            </w:r>
          </w:p>
        </w:tc>
      </w:tr>
      <w:tr w:rsidR="00224664" w:rsidRPr="008F058E" w:rsidTr="00224664">
        <w:trPr>
          <w:trHeight w:val="408"/>
        </w:trPr>
        <w:tc>
          <w:tcPr>
            <w:tcW w:w="1336" w:type="dxa"/>
            <w:shd w:val="clear" w:color="auto" w:fill="FFFFFF"/>
          </w:tcPr>
          <w:p w:rsidR="00224664" w:rsidRPr="008F058E" w:rsidRDefault="00224664" w:rsidP="00224664">
            <w:pPr>
              <w:pStyle w:val="CETBodytext"/>
              <w:ind w:right="-1"/>
              <w:rPr>
                <w:rFonts w:cs="Arial"/>
                <w:szCs w:val="18"/>
              </w:rPr>
            </w:pPr>
            <w:r w:rsidRPr="008F058E">
              <w:rPr>
                <w:rFonts w:cs="Arial"/>
                <w:szCs w:val="18"/>
              </w:rPr>
              <w:t>Expert 1</w:t>
            </w:r>
          </w:p>
        </w:tc>
        <w:tc>
          <w:tcPr>
            <w:tcW w:w="1039" w:type="dxa"/>
            <w:shd w:val="clear" w:color="auto" w:fill="FFFFFF"/>
          </w:tcPr>
          <w:p w:rsidR="00224664" w:rsidRPr="008F058E" w:rsidRDefault="00224664" w:rsidP="00224664">
            <w:pPr>
              <w:pStyle w:val="CETBodytext"/>
              <w:ind w:right="-1"/>
              <w:rPr>
                <w:rFonts w:cs="Arial"/>
                <w:szCs w:val="18"/>
              </w:rPr>
            </w:pPr>
            <w:r w:rsidRPr="008F058E">
              <w:rPr>
                <w:rFonts w:cs="Arial"/>
                <w:szCs w:val="18"/>
                <w:lang w:eastAsia="ru-RU"/>
              </w:rPr>
              <w:t>0,1</w:t>
            </w:r>
          </w:p>
        </w:tc>
        <w:tc>
          <w:tcPr>
            <w:tcW w:w="1039" w:type="dxa"/>
            <w:shd w:val="clear" w:color="auto" w:fill="FFFFFF"/>
          </w:tcPr>
          <w:p w:rsidR="00224664" w:rsidRPr="008F058E" w:rsidRDefault="00224664" w:rsidP="00224664">
            <w:pPr>
              <w:pStyle w:val="CETBodytext"/>
              <w:ind w:right="-1"/>
              <w:rPr>
                <w:rFonts w:cs="Arial"/>
                <w:szCs w:val="18"/>
                <w:lang w:val="en-GB"/>
              </w:rPr>
            </w:pPr>
            <w:r w:rsidRPr="008F058E">
              <w:rPr>
                <w:rFonts w:cs="Arial"/>
                <w:color w:val="000000"/>
                <w:szCs w:val="18"/>
                <w:lang w:val="uz-Cyrl-UZ"/>
              </w:rPr>
              <w:t>5</w:t>
            </w:r>
          </w:p>
        </w:tc>
        <w:tc>
          <w:tcPr>
            <w:tcW w:w="1039"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Absent</w:t>
            </w:r>
          </w:p>
          <w:p w:rsidR="00224664" w:rsidRPr="008F058E" w:rsidRDefault="00224664" w:rsidP="00224664">
            <w:pPr>
              <w:pStyle w:val="CETBodytext"/>
              <w:ind w:right="-1"/>
              <w:rPr>
                <w:rFonts w:cs="Arial"/>
                <w:szCs w:val="18"/>
                <w:lang w:val="en-GB"/>
              </w:rPr>
            </w:pPr>
          </w:p>
        </w:tc>
        <w:tc>
          <w:tcPr>
            <w:tcW w:w="1485"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Unchanged</w:t>
            </w:r>
          </w:p>
          <w:p w:rsidR="00224664" w:rsidRPr="008F058E" w:rsidRDefault="00224664" w:rsidP="00224664">
            <w:pPr>
              <w:pStyle w:val="CETBodytext"/>
              <w:ind w:right="-1"/>
              <w:rPr>
                <w:rFonts w:cs="Arial"/>
                <w:szCs w:val="18"/>
                <w:lang w:val="en-GB"/>
              </w:rPr>
            </w:pPr>
          </w:p>
        </w:tc>
        <w:tc>
          <w:tcPr>
            <w:tcW w:w="2821" w:type="dxa"/>
            <w:shd w:val="clear" w:color="auto" w:fill="FFFFFF"/>
            <w:vAlign w:val="center"/>
          </w:tcPr>
          <w:p w:rsidR="00224664" w:rsidRPr="008F058E" w:rsidRDefault="00224664" w:rsidP="00224664">
            <w:pPr>
              <w:pStyle w:val="CETBodytext"/>
              <w:ind w:right="-1"/>
              <w:rPr>
                <w:rFonts w:cs="Arial"/>
                <w:szCs w:val="18"/>
                <w:lang w:val="en-GB"/>
              </w:rPr>
            </w:pPr>
            <w:r w:rsidRPr="008F058E">
              <w:rPr>
                <w:rFonts w:cs="Arial"/>
                <w:szCs w:val="18"/>
                <w:lang w:eastAsia="ru-RU"/>
              </w:rPr>
              <w:t>100</w:t>
            </w:r>
          </w:p>
        </w:tc>
      </w:tr>
      <w:tr w:rsidR="00224664" w:rsidRPr="008F058E" w:rsidTr="00224664">
        <w:trPr>
          <w:trHeight w:val="375"/>
        </w:trPr>
        <w:tc>
          <w:tcPr>
            <w:tcW w:w="1336" w:type="dxa"/>
            <w:shd w:val="clear" w:color="auto" w:fill="FFFFFF"/>
          </w:tcPr>
          <w:p w:rsidR="00224664" w:rsidRPr="008F058E" w:rsidRDefault="00224664" w:rsidP="00224664">
            <w:pPr>
              <w:pStyle w:val="CETBodytext"/>
              <w:ind w:right="-1"/>
              <w:rPr>
                <w:rFonts w:cs="Arial"/>
                <w:szCs w:val="18"/>
              </w:rPr>
            </w:pPr>
            <w:r w:rsidRPr="008F058E">
              <w:rPr>
                <w:rFonts w:cs="Arial"/>
                <w:szCs w:val="18"/>
              </w:rPr>
              <w:t>Expert 2</w:t>
            </w:r>
          </w:p>
        </w:tc>
        <w:tc>
          <w:tcPr>
            <w:tcW w:w="1039" w:type="dxa"/>
            <w:shd w:val="clear" w:color="auto" w:fill="FFFFFF"/>
          </w:tcPr>
          <w:p w:rsidR="00224664" w:rsidRPr="008F058E" w:rsidRDefault="00224664" w:rsidP="00224664">
            <w:pPr>
              <w:pStyle w:val="CETBodytext"/>
              <w:ind w:right="-1"/>
              <w:rPr>
                <w:rFonts w:cs="Arial"/>
                <w:szCs w:val="18"/>
                <w:lang w:eastAsia="ru-RU"/>
              </w:rPr>
            </w:pPr>
            <w:r w:rsidRPr="008F058E">
              <w:rPr>
                <w:rFonts w:cs="Arial"/>
                <w:szCs w:val="18"/>
                <w:lang w:eastAsia="ru-RU"/>
              </w:rPr>
              <w:t>0,2</w:t>
            </w:r>
          </w:p>
        </w:tc>
        <w:tc>
          <w:tcPr>
            <w:tcW w:w="1039" w:type="dxa"/>
            <w:shd w:val="clear" w:color="auto" w:fill="FFFFFF"/>
          </w:tcPr>
          <w:p w:rsidR="00224664" w:rsidRPr="008F058E" w:rsidRDefault="00224664" w:rsidP="00224664">
            <w:pPr>
              <w:pStyle w:val="CETBodytext"/>
              <w:ind w:right="-1"/>
              <w:rPr>
                <w:rFonts w:cs="Arial"/>
                <w:color w:val="000000"/>
                <w:szCs w:val="18"/>
                <w:lang w:val="uz-Cyrl-UZ"/>
              </w:rPr>
            </w:pPr>
            <w:r w:rsidRPr="008F058E">
              <w:rPr>
                <w:rFonts w:cs="Arial"/>
                <w:color w:val="000000"/>
                <w:szCs w:val="18"/>
                <w:lang w:val="uz-Cyrl-UZ"/>
              </w:rPr>
              <w:t>5</w:t>
            </w:r>
          </w:p>
        </w:tc>
        <w:tc>
          <w:tcPr>
            <w:tcW w:w="1039"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Absent</w:t>
            </w:r>
          </w:p>
          <w:p w:rsidR="00224664" w:rsidRPr="008F058E" w:rsidRDefault="00224664" w:rsidP="00224664">
            <w:pPr>
              <w:pStyle w:val="leading-8"/>
              <w:spacing w:before="0" w:beforeAutospacing="0" w:after="0" w:afterAutospacing="0"/>
              <w:rPr>
                <w:rFonts w:ascii="Arial" w:hAnsi="Arial" w:cs="Arial"/>
                <w:sz w:val="18"/>
                <w:szCs w:val="18"/>
              </w:rPr>
            </w:pPr>
          </w:p>
        </w:tc>
        <w:tc>
          <w:tcPr>
            <w:tcW w:w="1485"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Unchanged</w:t>
            </w:r>
          </w:p>
          <w:p w:rsidR="00224664" w:rsidRPr="008F058E" w:rsidRDefault="00224664" w:rsidP="00224664">
            <w:pPr>
              <w:pStyle w:val="leading-8"/>
              <w:spacing w:before="0" w:beforeAutospacing="0" w:after="0" w:afterAutospacing="0"/>
              <w:rPr>
                <w:rFonts w:ascii="Arial" w:hAnsi="Arial" w:cs="Arial"/>
                <w:sz w:val="18"/>
                <w:szCs w:val="18"/>
              </w:rPr>
            </w:pPr>
          </w:p>
        </w:tc>
        <w:tc>
          <w:tcPr>
            <w:tcW w:w="2821" w:type="dxa"/>
            <w:shd w:val="clear" w:color="auto" w:fill="FFFFFF"/>
            <w:vAlign w:val="center"/>
          </w:tcPr>
          <w:p w:rsidR="00224664" w:rsidRPr="008F058E" w:rsidRDefault="00224664" w:rsidP="00224664">
            <w:pPr>
              <w:pStyle w:val="CETBodytext"/>
              <w:ind w:right="-1"/>
              <w:rPr>
                <w:rFonts w:cs="Arial"/>
                <w:szCs w:val="18"/>
                <w:lang w:eastAsia="ru-RU"/>
              </w:rPr>
            </w:pPr>
            <w:r w:rsidRPr="008F058E">
              <w:rPr>
                <w:rFonts w:cs="Arial"/>
                <w:szCs w:val="18"/>
                <w:lang w:eastAsia="ru-RU"/>
              </w:rPr>
              <w:t>100</w:t>
            </w:r>
          </w:p>
        </w:tc>
      </w:tr>
      <w:tr w:rsidR="00224664" w:rsidRPr="008F058E" w:rsidTr="00224664">
        <w:trPr>
          <w:trHeight w:val="375"/>
        </w:trPr>
        <w:tc>
          <w:tcPr>
            <w:tcW w:w="1336" w:type="dxa"/>
            <w:shd w:val="clear" w:color="auto" w:fill="FFFFFF"/>
          </w:tcPr>
          <w:p w:rsidR="00224664" w:rsidRPr="008F058E" w:rsidRDefault="00224664" w:rsidP="00224664">
            <w:pPr>
              <w:pStyle w:val="CETBodytext"/>
              <w:ind w:right="-1"/>
              <w:rPr>
                <w:rFonts w:cs="Arial"/>
                <w:szCs w:val="18"/>
              </w:rPr>
            </w:pPr>
            <w:r w:rsidRPr="008F058E">
              <w:rPr>
                <w:rFonts w:cs="Arial"/>
                <w:szCs w:val="18"/>
              </w:rPr>
              <w:t>Experienced 3</w:t>
            </w:r>
          </w:p>
        </w:tc>
        <w:tc>
          <w:tcPr>
            <w:tcW w:w="1039" w:type="dxa"/>
            <w:shd w:val="clear" w:color="auto" w:fill="FFFFFF"/>
          </w:tcPr>
          <w:p w:rsidR="00224664" w:rsidRPr="008F058E" w:rsidRDefault="00224664" w:rsidP="00224664">
            <w:pPr>
              <w:pStyle w:val="CETBodytext"/>
              <w:ind w:right="-1"/>
              <w:rPr>
                <w:rFonts w:cs="Arial"/>
                <w:szCs w:val="18"/>
                <w:lang w:eastAsia="ru-RU"/>
              </w:rPr>
            </w:pPr>
            <w:r w:rsidRPr="008F058E">
              <w:rPr>
                <w:rFonts w:cs="Arial"/>
                <w:szCs w:val="18"/>
                <w:lang w:eastAsia="ru-RU"/>
              </w:rPr>
              <w:t>0,3</w:t>
            </w:r>
          </w:p>
        </w:tc>
        <w:tc>
          <w:tcPr>
            <w:tcW w:w="1039" w:type="dxa"/>
            <w:shd w:val="clear" w:color="auto" w:fill="FFFFFF"/>
          </w:tcPr>
          <w:p w:rsidR="00224664" w:rsidRPr="008F058E" w:rsidRDefault="00224664" w:rsidP="00224664">
            <w:pPr>
              <w:pStyle w:val="CETBodytext"/>
              <w:ind w:right="-1"/>
              <w:rPr>
                <w:rFonts w:cs="Arial"/>
                <w:color w:val="000000"/>
                <w:szCs w:val="18"/>
                <w:lang w:val="uz-Cyrl-UZ"/>
              </w:rPr>
            </w:pPr>
            <w:r w:rsidRPr="008F058E">
              <w:rPr>
                <w:rFonts w:cs="Arial"/>
                <w:color w:val="000000"/>
                <w:szCs w:val="18"/>
                <w:lang w:val="uz-Cyrl-UZ"/>
              </w:rPr>
              <w:t>5</w:t>
            </w:r>
          </w:p>
        </w:tc>
        <w:tc>
          <w:tcPr>
            <w:tcW w:w="1039"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Absent</w:t>
            </w:r>
          </w:p>
          <w:p w:rsidR="00224664" w:rsidRPr="008F058E" w:rsidRDefault="00224664" w:rsidP="00224664">
            <w:pPr>
              <w:pStyle w:val="leading-8"/>
              <w:spacing w:before="0" w:beforeAutospacing="0" w:after="0" w:afterAutospacing="0"/>
              <w:rPr>
                <w:rFonts w:ascii="Arial" w:hAnsi="Arial" w:cs="Arial"/>
                <w:sz w:val="18"/>
                <w:szCs w:val="18"/>
              </w:rPr>
            </w:pPr>
          </w:p>
        </w:tc>
        <w:tc>
          <w:tcPr>
            <w:tcW w:w="1485" w:type="dxa"/>
            <w:shd w:val="clear" w:color="auto" w:fill="FFFFFF"/>
            <w:vAlign w:val="center"/>
          </w:tcPr>
          <w:p w:rsidR="00224664" w:rsidRPr="008F058E" w:rsidRDefault="00224664" w:rsidP="00224664">
            <w:pPr>
              <w:pStyle w:val="leading-8"/>
              <w:spacing w:before="0" w:beforeAutospacing="0" w:after="0" w:afterAutospacing="0"/>
              <w:rPr>
                <w:rFonts w:ascii="Arial" w:hAnsi="Arial" w:cs="Arial"/>
                <w:sz w:val="18"/>
                <w:szCs w:val="18"/>
              </w:rPr>
            </w:pPr>
            <w:r w:rsidRPr="008F058E">
              <w:rPr>
                <w:rFonts w:ascii="Arial" w:hAnsi="Arial" w:cs="Arial"/>
                <w:sz w:val="18"/>
                <w:szCs w:val="18"/>
              </w:rPr>
              <w:t>Unchanged</w:t>
            </w:r>
          </w:p>
          <w:p w:rsidR="00224664" w:rsidRPr="008F058E" w:rsidRDefault="00224664" w:rsidP="00224664">
            <w:pPr>
              <w:pStyle w:val="leading-8"/>
              <w:spacing w:before="0" w:beforeAutospacing="0" w:after="0" w:afterAutospacing="0"/>
              <w:rPr>
                <w:rFonts w:ascii="Arial" w:hAnsi="Arial" w:cs="Arial"/>
                <w:sz w:val="18"/>
                <w:szCs w:val="18"/>
              </w:rPr>
            </w:pPr>
          </w:p>
        </w:tc>
        <w:tc>
          <w:tcPr>
            <w:tcW w:w="2821" w:type="dxa"/>
            <w:shd w:val="clear" w:color="auto" w:fill="FFFFFF"/>
            <w:vAlign w:val="center"/>
          </w:tcPr>
          <w:p w:rsidR="00224664" w:rsidRPr="008F058E" w:rsidRDefault="00224664" w:rsidP="00224664">
            <w:pPr>
              <w:pStyle w:val="CETBodytext"/>
              <w:ind w:right="-1"/>
              <w:rPr>
                <w:rFonts w:cs="Arial"/>
                <w:szCs w:val="18"/>
                <w:lang w:eastAsia="ru-RU"/>
              </w:rPr>
            </w:pPr>
            <w:r w:rsidRPr="008F058E">
              <w:rPr>
                <w:rFonts w:cs="Arial"/>
                <w:szCs w:val="18"/>
                <w:lang w:eastAsia="ru-RU"/>
              </w:rPr>
              <w:t>100</w:t>
            </w:r>
          </w:p>
        </w:tc>
      </w:tr>
    </w:tbl>
    <w:p w:rsidR="00224664" w:rsidRPr="008F058E" w:rsidRDefault="00D0719E" w:rsidP="00D0719E">
      <w:pPr>
        <w:pStyle w:val="aff1"/>
        <w:shd w:val="clear" w:color="auto" w:fill="FFFFFF"/>
        <w:spacing w:line="240" w:lineRule="auto"/>
        <w:ind w:firstLine="567"/>
        <w:rPr>
          <w:rFonts w:cs="Arial"/>
          <w:color w:val="000000"/>
          <w:sz w:val="18"/>
          <w:szCs w:val="18"/>
          <w:lang w:val="en-US"/>
        </w:rPr>
      </w:pPr>
      <w:r w:rsidRPr="008F058E">
        <w:rPr>
          <w:rFonts w:cs="Arial"/>
          <w:color w:val="000000"/>
          <w:sz w:val="18"/>
          <w:szCs w:val="18"/>
          <w:lang w:val="en-US"/>
        </w:rPr>
        <w:tab/>
      </w:r>
    </w:p>
    <w:p w:rsidR="00D0719E" w:rsidRPr="008F058E" w:rsidRDefault="00D0719E" w:rsidP="00D0719E">
      <w:pPr>
        <w:pStyle w:val="aff1"/>
        <w:shd w:val="clear" w:color="auto" w:fill="FFFFFF"/>
        <w:spacing w:line="240" w:lineRule="auto"/>
        <w:ind w:firstLine="567"/>
        <w:rPr>
          <w:rFonts w:cs="Arial"/>
          <w:color w:val="000000"/>
          <w:sz w:val="18"/>
          <w:szCs w:val="18"/>
          <w:lang w:val="en-US"/>
        </w:rPr>
      </w:pPr>
      <w:r w:rsidRPr="008F058E">
        <w:rPr>
          <w:rFonts w:cs="Arial"/>
          <w:color w:val="000000"/>
          <w:sz w:val="18"/>
          <w:szCs w:val="18"/>
          <w:lang w:val="en-US"/>
        </w:rPr>
        <w:t xml:space="preserve">As seen from the data in Table 2, no signs of mucosal irritation were observed in all experimental groups, regardless of the sample weight (0.1–0.3 g). The general condition of the animals remained stable, and the survival rate was 100% in all cases, indicating the absence of local irritant action from the studied composite material. </w:t>
      </w:r>
      <w:r w:rsidRPr="008F058E">
        <w:rPr>
          <w:rFonts w:cs="Arial"/>
          <w:color w:val="000000"/>
          <w:sz w:val="18"/>
          <w:szCs w:val="18"/>
          <w:lang w:val="en-US"/>
        </w:rPr>
        <w:tab/>
        <w:t>For more accurate assessment, a standard scale for the severity of oral mucosal erythema was used (Table. 3)</w:t>
      </w:r>
    </w:p>
    <w:p w:rsidR="005653A1" w:rsidRPr="004571B8" w:rsidRDefault="005653A1" w:rsidP="005653A1">
      <w:pPr>
        <w:pStyle w:val="31"/>
        <w:ind w:firstLine="567"/>
        <w:rPr>
          <w:rFonts w:ascii="Arial" w:hAnsi="Arial" w:cs="Arial"/>
          <w:color w:val="000000"/>
          <w:szCs w:val="18"/>
        </w:rPr>
      </w:pPr>
      <w:r w:rsidRPr="004571B8">
        <w:rPr>
          <w:rStyle w:val="affff2"/>
          <w:rFonts w:ascii="Arial" w:hAnsi="Arial" w:cs="Arial"/>
          <w:bCs/>
          <w:color w:val="000000"/>
          <w:szCs w:val="18"/>
        </w:rPr>
        <w:t>Table 3. Scoring scale for evaluation of oral mucosal erythema</w:t>
      </w:r>
    </w:p>
    <w:tbl>
      <w:tblPr>
        <w:tblW w:w="5657"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4253"/>
        <w:gridCol w:w="1404"/>
      </w:tblGrid>
      <w:tr w:rsidR="005653A1" w:rsidRPr="008F058E" w:rsidTr="005653A1">
        <w:trPr>
          <w:trHeight w:val="368"/>
        </w:trPr>
        <w:tc>
          <w:tcPr>
            <w:tcW w:w="4253" w:type="dxa"/>
            <w:tcBorders>
              <w:top w:val="single" w:sz="12" w:space="0" w:color="008000"/>
              <w:bottom w:val="single" w:sz="6" w:space="0" w:color="008000"/>
            </w:tcBorders>
            <w:shd w:val="clear" w:color="auto" w:fill="FFFFFF"/>
            <w:vAlign w:val="center"/>
          </w:tcPr>
          <w:p w:rsidR="005653A1" w:rsidRPr="008F058E" w:rsidRDefault="005653A1" w:rsidP="00280843">
            <w:pPr>
              <w:pStyle w:val="CETBodytext"/>
              <w:rPr>
                <w:rStyle w:val="affff2"/>
                <w:rFonts w:cs="Arial"/>
                <w:bCs w:val="0"/>
                <w:szCs w:val="18"/>
              </w:rPr>
            </w:pPr>
            <w:r w:rsidRPr="004571B8">
              <w:rPr>
                <w:rFonts w:cs="Arial"/>
                <w:bCs/>
                <w:szCs w:val="18"/>
              </w:rPr>
              <w:t>Erythema and crust formation</w:t>
            </w:r>
          </w:p>
        </w:tc>
        <w:tc>
          <w:tcPr>
            <w:tcW w:w="1404" w:type="dxa"/>
            <w:tcBorders>
              <w:top w:val="single" w:sz="12" w:space="0" w:color="008000"/>
              <w:bottom w:val="single" w:sz="6" w:space="0" w:color="008000"/>
            </w:tcBorders>
            <w:shd w:val="clear" w:color="auto" w:fill="FFFFFF"/>
            <w:vAlign w:val="center"/>
          </w:tcPr>
          <w:p w:rsidR="005653A1" w:rsidRPr="008F058E" w:rsidRDefault="005653A1" w:rsidP="00280843">
            <w:pPr>
              <w:pStyle w:val="CETBodytext"/>
              <w:rPr>
                <w:rStyle w:val="affff2"/>
                <w:rFonts w:cs="Arial"/>
                <w:bCs w:val="0"/>
                <w:szCs w:val="18"/>
              </w:rPr>
            </w:pPr>
            <w:r w:rsidRPr="004571B8">
              <w:rPr>
                <w:rFonts w:cs="Arial"/>
                <w:bCs/>
                <w:szCs w:val="18"/>
              </w:rPr>
              <w:t>Score, points</w:t>
            </w:r>
          </w:p>
        </w:tc>
      </w:tr>
      <w:tr w:rsidR="005653A1" w:rsidRPr="008F058E" w:rsidTr="005653A1">
        <w:trPr>
          <w:trHeight w:val="368"/>
        </w:trPr>
        <w:tc>
          <w:tcPr>
            <w:tcW w:w="4253" w:type="dxa"/>
            <w:shd w:val="clear" w:color="auto" w:fill="FFFFFF"/>
            <w:vAlign w:val="center"/>
          </w:tcPr>
          <w:p w:rsidR="005653A1" w:rsidRPr="008F058E" w:rsidRDefault="005653A1" w:rsidP="005653A1">
            <w:pPr>
              <w:rPr>
                <w:rFonts w:cs="Arial"/>
                <w:szCs w:val="18"/>
              </w:rPr>
            </w:pPr>
            <w:r w:rsidRPr="008F058E">
              <w:rPr>
                <w:rFonts w:cs="Arial"/>
                <w:szCs w:val="18"/>
              </w:rPr>
              <w:t>No erythema observed</w:t>
            </w:r>
          </w:p>
        </w:tc>
        <w:tc>
          <w:tcPr>
            <w:tcW w:w="1404" w:type="dxa"/>
            <w:shd w:val="clear" w:color="auto" w:fill="FFFFFF"/>
            <w:vAlign w:val="center"/>
          </w:tcPr>
          <w:p w:rsidR="005653A1" w:rsidRPr="008F058E" w:rsidRDefault="005653A1" w:rsidP="005653A1">
            <w:pPr>
              <w:rPr>
                <w:rFonts w:cs="Arial"/>
                <w:szCs w:val="18"/>
              </w:rPr>
            </w:pPr>
            <w:r w:rsidRPr="008F058E">
              <w:rPr>
                <w:rFonts w:cs="Arial"/>
                <w:szCs w:val="18"/>
              </w:rPr>
              <w:t>0</w:t>
            </w:r>
          </w:p>
        </w:tc>
      </w:tr>
      <w:tr w:rsidR="005653A1" w:rsidRPr="008F058E" w:rsidTr="005653A1">
        <w:trPr>
          <w:trHeight w:val="359"/>
        </w:trPr>
        <w:tc>
          <w:tcPr>
            <w:tcW w:w="4253" w:type="dxa"/>
            <w:shd w:val="clear" w:color="auto" w:fill="FFFFFF"/>
            <w:vAlign w:val="center"/>
          </w:tcPr>
          <w:p w:rsidR="005653A1" w:rsidRPr="008F058E" w:rsidRDefault="005653A1" w:rsidP="005653A1">
            <w:pPr>
              <w:rPr>
                <w:rFonts w:cs="Arial"/>
                <w:szCs w:val="18"/>
              </w:rPr>
            </w:pPr>
            <w:r w:rsidRPr="008F058E">
              <w:rPr>
                <w:rFonts w:cs="Arial"/>
                <w:szCs w:val="18"/>
              </w:rPr>
              <w:t>Very slight erythema (almost imperceptible)</w:t>
            </w:r>
          </w:p>
        </w:tc>
        <w:tc>
          <w:tcPr>
            <w:tcW w:w="1404" w:type="dxa"/>
            <w:shd w:val="clear" w:color="auto" w:fill="FFFFFF"/>
            <w:vAlign w:val="center"/>
          </w:tcPr>
          <w:p w:rsidR="005653A1" w:rsidRPr="008F058E" w:rsidRDefault="005653A1" w:rsidP="005653A1">
            <w:pPr>
              <w:ind w:left="-12" w:firstLine="12"/>
              <w:rPr>
                <w:rFonts w:cs="Arial"/>
                <w:szCs w:val="18"/>
              </w:rPr>
            </w:pPr>
            <w:r w:rsidRPr="008F058E">
              <w:rPr>
                <w:rFonts w:cs="Arial"/>
                <w:szCs w:val="18"/>
              </w:rPr>
              <w:t>1</w:t>
            </w:r>
          </w:p>
        </w:tc>
      </w:tr>
      <w:tr w:rsidR="005653A1" w:rsidRPr="008F058E" w:rsidTr="005653A1">
        <w:trPr>
          <w:trHeight w:val="359"/>
        </w:trPr>
        <w:tc>
          <w:tcPr>
            <w:tcW w:w="4253" w:type="dxa"/>
            <w:shd w:val="clear" w:color="auto" w:fill="FFFFFF"/>
            <w:vAlign w:val="center"/>
          </w:tcPr>
          <w:p w:rsidR="005653A1" w:rsidRPr="008F058E" w:rsidRDefault="005653A1" w:rsidP="005653A1">
            <w:pPr>
              <w:rPr>
                <w:rFonts w:cs="Arial"/>
                <w:szCs w:val="18"/>
              </w:rPr>
            </w:pPr>
            <w:r w:rsidRPr="008F058E">
              <w:rPr>
                <w:rFonts w:cs="Arial"/>
                <w:szCs w:val="18"/>
              </w:rPr>
              <w:t>Clearly distinguishable erythema</w:t>
            </w:r>
          </w:p>
        </w:tc>
        <w:tc>
          <w:tcPr>
            <w:tcW w:w="1404" w:type="dxa"/>
            <w:shd w:val="clear" w:color="auto" w:fill="FFFFFF"/>
            <w:vAlign w:val="center"/>
          </w:tcPr>
          <w:p w:rsidR="005653A1" w:rsidRPr="008F058E" w:rsidRDefault="005653A1" w:rsidP="005653A1">
            <w:pPr>
              <w:rPr>
                <w:rFonts w:cs="Arial"/>
                <w:szCs w:val="18"/>
              </w:rPr>
            </w:pPr>
            <w:r w:rsidRPr="008F058E">
              <w:rPr>
                <w:rFonts w:cs="Arial"/>
                <w:szCs w:val="18"/>
              </w:rPr>
              <w:t>2</w:t>
            </w:r>
          </w:p>
        </w:tc>
      </w:tr>
      <w:tr w:rsidR="005653A1" w:rsidRPr="008F058E" w:rsidTr="005653A1">
        <w:trPr>
          <w:trHeight w:val="359"/>
        </w:trPr>
        <w:tc>
          <w:tcPr>
            <w:tcW w:w="4253" w:type="dxa"/>
            <w:shd w:val="clear" w:color="auto" w:fill="FFFFFF"/>
            <w:vAlign w:val="center"/>
          </w:tcPr>
          <w:p w:rsidR="005653A1" w:rsidRPr="008F058E" w:rsidRDefault="005653A1" w:rsidP="005653A1">
            <w:pPr>
              <w:rPr>
                <w:rFonts w:cs="Arial"/>
                <w:szCs w:val="18"/>
              </w:rPr>
            </w:pPr>
            <w:r w:rsidRPr="008F058E">
              <w:rPr>
                <w:rFonts w:cs="Arial"/>
                <w:szCs w:val="18"/>
              </w:rPr>
              <w:t>Moderate to severe erythema</w:t>
            </w:r>
          </w:p>
        </w:tc>
        <w:tc>
          <w:tcPr>
            <w:tcW w:w="1404" w:type="dxa"/>
            <w:shd w:val="clear" w:color="auto" w:fill="FFFFFF"/>
            <w:vAlign w:val="center"/>
          </w:tcPr>
          <w:p w:rsidR="005653A1" w:rsidRPr="008F058E" w:rsidRDefault="005653A1" w:rsidP="005653A1">
            <w:pPr>
              <w:rPr>
                <w:rFonts w:cs="Arial"/>
                <w:szCs w:val="18"/>
              </w:rPr>
            </w:pPr>
            <w:r w:rsidRPr="008F058E">
              <w:rPr>
                <w:rFonts w:cs="Arial"/>
                <w:szCs w:val="18"/>
              </w:rPr>
              <w:t>3</w:t>
            </w:r>
          </w:p>
        </w:tc>
      </w:tr>
      <w:tr w:rsidR="005653A1" w:rsidRPr="008F058E" w:rsidTr="005653A1">
        <w:trPr>
          <w:trHeight w:val="359"/>
        </w:trPr>
        <w:tc>
          <w:tcPr>
            <w:tcW w:w="4253" w:type="dxa"/>
            <w:shd w:val="clear" w:color="auto" w:fill="FFFFFF"/>
            <w:vAlign w:val="center"/>
          </w:tcPr>
          <w:p w:rsidR="005653A1" w:rsidRPr="008F058E" w:rsidRDefault="005653A1" w:rsidP="005653A1">
            <w:pPr>
              <w:rPr>
                <w:rFonts w:cs="Arial"/>
                <w:szCs w:val="18"/>
              </w:rPr>
            </w:pPr>
            <w:r w:rsidRPr="008F058E">
              <w:rPr>
                <w:rFonts w:cs="Arial"/>
                <w:szCs w:val="18"/>
              </w:rPr>
              <w:t>Severe erythema with eschar formation</w:t>
            </w:r>
          </w:p>
        </w:tc>
        <w:tc>
          <w:tcPr>
            <w:tcW w:w="1404" w:type="dxa"/>
            <w:shd w:val="clear" w:color="auto" w:fill="FFFFFF"/>
            <w:vAlign w:val="center"/>
          </w:tcPr>
          <w:p w:rsidR="005653A1" w:rsidRPr="008F058E" w:rsidRDefault="005653A1" w:rsidP="005653A1">
            <w:pPr>
              <w:rPr>
                <w:rFonts w:cs="Arial"/>
                <w:szCs w:val="18"/>
              </w:rPr>
            </w:pPr>
            <w:r w:rsidRPr="008F058E">
              <w:rPr>
                <w:rFonts w:cs="Arial"/>
                <w:szCs w:val="18"/>
              </w:rPr>
              <w:t>4</w:t>
            </w:r>
          </w:p>
        </w:tc>
      </w:tr>
    </w:tbl>
    <w:p w:rsidR="005653A1" w:rsidRPr="008F058E" w:rsidRDefault="005653A1" w:rsidP="00D0719E">
      <w:pPr>
        <w:pStyle w:val="aff1"/>
        <w:shd w:val="clear" w:color="auto" w:fill="FFFFFF"/>
        <w:spacing w:line="240" w:lineRule="auto"/>
        <w:ind w:firstLine="567"/>
        <w:rPr>
          <w:rFonts w:cs="Arial"/>
          <w:color w:val="000000"/>
          <w:sz w:val="18"/>
          <w:szCs w:val="18"/>
          <w:lang w:val="en-US"/>
        </w:rPr>
      </w:pPr>
    </w:p>
    <w:p w:rsidR="009753F7" w:rsidRPr="009753F7" w:rsidRDefault="009753F7" w:rsidP="008F058E">
      <w:pPr>
        <w:tabs>
          <w:tab w:val="clear" w:pos="7100"/>
        </w:tabs>
        <w:spacing w:line="240" w:lineRule="auto"/>
        <w:rPr>
          <w:rFonts w:cs="Arial"/>
          <w:szCs w:val="18"/>
          <w:lang w:val="en-US" w:eastAsia="ru-RU"/>
        </w:rPr>
      </w:pPr>
      <w:r w:rsidRPr="009753F7">
        <w:rPr>
          <w:rFonts w:cs="Arial"/>
          <w:szCs w:val="18"/>
          <w:lang w:val="en-US" w:eastAsia="ru-RU"/>
        </w:rPr>
        <w:t>The response of the oral mucosa was evaluated by means of the erythema scoring scale presented in Table 3. A score of 0 meant no erythema, whereas higher scores indicated increasing severity of mucosal erythema and tissue reaction. In the present study, the irritation score was 0, indicating that no erythema or edema was observed in any of the experimental groups.The biological safety of DAVE should be interpreted considering the limitations of the present study. Biological testing was limited to acute oral toxicity and local mucosal irritation. In the present work, cytotoxicity testing with adequate dental cell models, residual monomer release measurement and further in vitro biocompatibility studies were not performed. These investigations are required for a more complete evaluation of suitability of DAVE for dental applications and should be included in future studies. The present results can therefore be regarded as preliminary evidence of acute biological tolerance, but not as definitive evidence of long-term biocompatibility.</w:t>
      </w:r>
    </w:p>
    <w:p w:rsidR="00410C3F" w:rsidRPr="008F058E" w:rsidRDefault="00410C3F" w:rsidP="00410C3F">
      <w:pPr>
        <w:pStyle w:val="CETHeading1"/>
        <w:numPr>
          <w:ilvl w:val="0"/>
          <w:numId w:val="0"/>
        </w:numPr>
        <w:spacing w:before="0" w:after="0"/>
        <w:jc w:val="both"/>
        <w:rPr>
          <w:rFonts w:cs="Arial"/>
          <w:color w:val="FF0000"/>
          <w:sz w:val="18"/>
          <w:szCs w:val="18"/>
        </w:rPr>
      </w:pPr>
    </w:p>
    <w:p w:rsidR="001C0519" w:rsidRPr="008F058E" w:rsidRDefault="005653A1" w:rsidP="00410C3F">
      <w:pPr>
        <w:pStyle w:val="CETHeading1"/>
        <w:numPr>
          <w:ilvl w:val="0"/>
          <w:numId w:val="0"/>
        </w:numPr>
        <w:spacing w:before="0" w:after="0"/>
        <w:jc w:val="both"/>
        <w:rPr>
          <w:rFonts w:cs="Arial"/>
          <w:sz w:val="18"/>
          <w:szCs w:val="18"/>
          <w:lang w:val="uz-Cyrl-UZ"/>
        </w:rPr>
      </w:pPr>
      <w:r w:rsidRPr="005653A1">
        <w:rPr>
          <w:rFonts w:cs="Arial"/>
          <w:color w:val="000000" w:themeColor="text1"/>
          <w:sz w:val="18"/>
          <w:szCs w:val="18"/>
        </w:rPr>
        <w:t xml:space="preserve">4. </w:t>
      </w:r>
      <w:r w:rsidR="001C0519" w:rsidRPr="008F058E">
        <w:rPr>
          <w:rFonts w:cs="Arial"/>
          <w:sz w:val="18"/>
          <w:szCs w:val="18"/>
        </w:rPr>
        <w:t>CONCLUSIONS</w:t>
      </w:r>
    </w:p>
    <w:p w:rsidR="001C0519" w:rsidRPr="008F058E" w:rsidRDefault="00D0719E" w:rsidP="001C0519">
      <w:pPr>
        <w:spacing w:line="240" w:lineRule="auto"/>
        <w:ind w:firstLine="567"/>
        <w:rPr>
          <w:rFonts w:cs="Arial"/>
          <w:b/>
          <w:bCs/>
          <w:szCs w:val="18"/>
        </w:rPr>
      </w:pPr>
      <w:r w:rsidRPr="008F058E">
        <w:rPr>
          <w:rFonts w:cs="Arial"/>
          <w:szCs w:val="18"/>
        </w:rPr>
        <w:t xml:space="preserve">A new tartaric-acrylic ester monomer (DAVE) and an inorganic-filled dental composite were developed and tested for their toxicological safety and biocompatibility in the oral environment. </w:t>
      </w:r>
      <w:r w:rsidRPr="008F058E">
        <w:rPr>
          <w:rFonts w:cs="Arial"/>
          <w:color w:val="000000"/>
          <w:szCs w:val="18"/>
          <w:lang w:val="en-US" w:eastAsia="ru-RU"/>
        </w:rPr>
        <w:t>The esterif</w:t>
      </w:r>
      <w:r w:rsidR="005653A1">
        <w:rPr>
          <w:rFonts w:cs="Arial"/>
          <w:color w:val="000000"/>
          <w:szCs w:val="18"/>
          <w:lang w:val="en-US" w:eastAsia="ru-RU"/>
        </w:rPr>
        <w:t>ication reaction at 80 ± 2 °C (1:2</w:t>
      </w:r>
      <w:r w:rsidRPr="008F058E">
        <w:rPr>
          <w:rFonts w:cs="Arial"/>
          <w:color w:val="000000"/>
          <w:szCs w:val="18"/>
          <w:lang w:val="en-US" w:eastAsia="ru-RU"/>
        </w:rPr>
        <w:t xml:space="preserve"> molar ratio) gave high yield of </w:t>
      </w:r>
      <w:r w:rsidRPr="008F058E">
        <w:rPr>
          <w:rFonts w:cs="Arial"/>
          <w:bCs/>
          <w:color w:val="000000"/>
          <w:szCs w:val="18"/>
          <w:lang w:val="en-US" w:eastAsia="ru-RU"/>
        </w:rPr>
        <w:t>86%</w:t>
      </w:r>
      <w:r w:rsidRPr="008F058E">
        <w:rPr>
          <w:rFonts w:cs="Arial"/>
          <w:color w:val="000000"/>
          <w:szCs w:val="18"/>
          <w:lang w:val="en-US" w:eastAsia="ru-RU"/>
        </w:rPr>
        <w:t xml:space="preserve"> and chromatographic and IR analyses confirmed the </w:t>
      </w:r>
      <w:r w:rsidRPr="008F058E">
        <w:rPr>
          <w:rFonts w:cs="Arial"/>
          <w:bCs/>
          <w:color w:val="000000"/>
          <w:szCs w:val="18"/>
          <w:lang w:val="en-US" w:eastAsia="ru-RU"/>
        </w:rPr>
        <w:t>high purity and correct structure</w:t>
      </w:r>
      <w:r w:rsidRPr="008F058E">
        <w:rPr>
          <w:rFonts w:cs="Arial"/>
          <w:color w:val="000000"/>
          <w:szCs w:val="18"/>
          <w:lang w:val="en-US" w:eastAsia="ru-RU"/>
        </w:rPr>
        <w:t xml:space="preserve"> of the synthesized monomer. </w:t>
      </w:r>
      <w:r w:rsidRPr="008F058E">
        <w:rPr>
          <w:rFonts w:cs="Arial"/>
          <w:bCs/>
          <w:color w:val="000000"/>
          <w:szCs w:val="18"/>
          <w:lang w:val="en-US" w:eastAsia="ru-RU"/>
        </w:rPr>
        <w:t>Low toxicity</w:t>
      </w:r>
      <w:r w:rsidRPr="008F058E">
        <w:rPr>
          <w:rFonts w:cs="Arial"/>
          <w:color w:val="000000"/>
          <w:szCs w:val="18"/>
          <w:lang w:val="en-US" w:eastAsia="ru-RU"/>
        </w:rPr>
        <w:t xml:space="preserve"> was observed in acute oral toxicity tests in mice. Short-term respiratory discomfort and restlessness were observed at </w:t>
      </w:r>
      <w:r w:rsidRPr="008F058E">
        <w:rPr>
          <w:rFonts w:cs="Arial"/>
          <w:bCs/>
          <w:color w:val="000000"/>
          <w:szCs w:val="18"/>
          <w:lang w:val="en-US" w:eastAsia="ru-RU"/>
        </w:rPr>
        <w:t>1000–1500 mg/kg</w:t>
      </w:r>
      <w:r w:rsidRPr="008F058E">
        <w:rPr>
          <w:rFonts w:cs="Arial"/>
          <w:color w:val="000000"/>
          <w:szCs w:val="18"/>
          <w:lang w:val="en-US" w:eastAsia="ru-RU"/>
        </w:rPr>
        <w:t xml:space="preserve">, without mortality. Reversible excitation was observed at </w:t>
      </w:r>
      <w:r w:rsidRPr="008F058E">
        <w:rPr>
          <w:rFonts w:cs="Arial"/>
          <w:bCs/>
          <w:color w:val="000000"/>
          <w:szCs w:val="18"/>
          <w:lang w:val="en-US" w:eastAsia="ru-RU"/>
        </w:rPr>
        <w:t>2000 mg/kg</w:t>
      </w:r>
      <w:r w:rsidRPr="008F058E">
        <w:rPr>
          <w:rFonts w:cs="Arial"/>
          <w:color w:val="000000"/>
          <w:szCs w:val="18"/>
          <w:lang w:val="en-US" w:eastAsia="ru-RU"/>
        </w:rPr>
        <w:t xml:space="preserve">, the </w:t>
      </w:r>
      <w:r w:rsidRPr="008F058E">
        <w:rPr>
          <w:rFonts w:cs="Arial"/>
          <w:bCs/>
          <w:color w:val="000000"/>
          <w:szCs w:val="18"/>
          <w:lang w:val="en-US" w:eastAsia="ru-RU"/>
        </w:rPr>
        <w:t>first lethal dose was 3000 mg/kg</w:t>
      </w:r>
      <w:r w:rsidRPr="008F058E">
        <w:rPr>
          <w:rFonts w:cs="Arial"/>
          <w:color w:val="000000"/>
          <w:szCs w:val="18"/>
          <w:lang w:val="en-US" w:eastAsia="ru-RU"/>
        </w:rPr>
        <w:t xml:space="preserve"> and </w:t>
      </w:r>
      <w:r w:rsidRPr="008F058E">
        <w:rPr>
          <w:rFonts w:cs="Arial"/>
          <w:bCs/>
          <w:color w:val="000000"/>
          <w:szCs w:val="18"/>
          <w:lang w:val="en-US" w:eastAsia="ru-RU"/>
        </w:rPr>
        <w:t xml:space="preserve">100% mortality </w:t>
      </w:r>
      <w:r w:rsidRPr="008F058E">
        <w:rPr>
          <w:rFonts w:cs="Arial"/>
          <w:color w:val="000000"/>
          <w:szCs w:val="18"/>
          <w:lang w:val="en-US" w:eastAsia="ru-RU"/>
        </w:rPr>
        <w:t>was</w:t>
      </w:r>
      <w:r w:rsidRPr="008F058E">
        <w:rPr>
          <w:rFonts w:cs="Arial"/>
          <w:bCs/>
          <w:color w:val="000000"/>
          <w:szCs w:val="18"/>
          <w:lang w:val="en-US" w:eastAsia="ru-RU"/>
        </w:rPr>
        <w:t xml:space="preserve"> seen at 5000 mg/kg</w:t>
      </w:r>
      <w:r w:rsidRPr="008F058E">
        <w:rPr>
          <w:rFonts w:cs="Arial"/>
          <w:color w:val="000000"/>
          <w:szCs w:val="18"/>
          <w:lang w:val="en-US" w:eastAsia="ru-RU"/>
        </w:rPr>
        <w:t xml:space="preserve">. The calculated </w:t>
      </w:r>
      <w:r w:rsidRPr="008F058E">
        <w:rPr>
          <w:rFonts w:cs="Arial"/>
          <w:bCs/>
          <w:color w:val="000000"/>
          <w:szCs w:val="18"/>
          <w:lang w:val="en-US" w:eastAsia="ru-RU"/>
        </w:rPr>
        <w:t>LD</w:t>
      </w:r>
      <w:r w:rsidRPr="008F058E">
        <w:rPr>
          <w:rFonts w:ascii="Cambria Math" w:hAnsi="Cambria Math" w:cs="Cambria Math"/>
          <w:bCs/>
          <w:color w:val="000000"/>
          <w:szCs w:val="18"/>
          <w:lang w:val="en-US" w:eastAsia="ru-RU"/>
        </w:rPr>
        <w:t>₅₀</w:t>
      </w:r>
      <w:r w:rsidRPr="008F058E">
        <w:rPr>
          <w:rFonts w:cs="Arial"/>
          <w:bCs/>
          <w:color w:val="000000"/>
          <w:szCs w:val="18"/>
          <w:lang w:val="en-US" w:eastAsia="ru-RU"/>
        </w:rPr>
        <w:t xml:space="preserve"> = 3720 mg/kg</w:t>
      </w:r>
      <w:r w:rsidRPr="008F058E">
        <w:rPr>
          <w:rFonts w:cs="Arial"/>
          <w:color w:val="000000"/>
          <w:szCs w:val="18"/>
          <w:lang w:val="en-US" w:eastAsia="ru-RU"/>
        </w:rPr>
        <w:t xml:space="preserve">, which indicates </w:t>
      </w:r>
      <w:r w:rsidRPr="008F058E">
        <w:rPr>
          <w:rFonts w:cs="Arial"/>
          <w:bCs/>
          <w:color w:val="000000"/>
          <w:szCs w:val="18"/>
          <w:lang w:val="en-US" w:eastAsia="ru-RU"/>
        </w:rPr>
        <w:t>hazard class IV</w:t>
      </w:r>
      <w:r w:rsidRPr="008F058E">
        <w:rPr>
          <w:rFonts w:cs="Arial"/>
          <w:color w:val="000000"/>
          <w:szCs w:val="18"/>
          <w:lang w:val="en-US" w:eastAsia="ru-RU"/>
        </w:rPr>
        <w:t xml:space="preserve">. Solutions </w:t>
      </w:r>
      <w:r w:rsidRPr="008F058E">
        <w:rPr>
          <w:rFonts w:cs="Arial"/>
          <w:color w:val="000000"/>
          <w:szCs w:val="18"/>
          <w:lang w:val="en-US" w:eastAsia="ru-RU"/>
        </w:rPr>
        <w:lastRenderedPageBreak/>
        <w:t xml:space="preserve">of </w:t>
      </w:r>
      <w:r w:rsidRPr="008F058E">
        <w:rPr>
          <w:rFonts w:cs="Arial"/>
          <w:bCs/>
          <w:color w:val="000000"/>
          <w:szCs w:val="18"/>
          <w:lang w:val="en-US" w:eastAsia="ru-RU"/>
        </w:rPr>
        <w:t>0.5–1.0%</w:t>
      </w:r>
      <w:r w:rsidRPr="008F058E">
        <w:rPr>
          <w:rFonts w:cs="Arial"/>
          <w:color w:val="000000"/>
          <w:szCs w:val="18"/>
          <w:lang w:val="en-US" w:eastAsia="ru-RU"/>
        </w:rPr>
        <w:t xml:space="preserve"> produced no toxic effects and even at </w:t>
      </w:r>
      <w:r w:rsidRPr="008F058E">
        <w:rPr>
          <w:rFonts w:cs="Arial"/>
          <w:bCs/>
          <w:color w:val="000000"/>
          <w:szCs w:val="18"/>
          <w:lang w:val="en-US" w:eastAsia="ru-RU"/>
        </w:rPr>
        <w:t>5.0%</w:t>
      </w:r>
      <w:r w:rsidRPr="008F058E">
        <w:rPr>
          <w:rFonts w:cs="Arial"/>
          <w:color w:val="000000"/>
          <w:szCs w:val="18"/>
          <w:lang w:val="en-US" w:eastAsia="ru-RU"/>
        </w:rPr>
        <w:t xml:space="preserve"> only mild. Local effects in rabbits were examined and no irritation of oral mucosa was observed after application of 0.1-0.3 g composite samples for 30 min. No erythema and edema were observed, and the survival rate of all groups was 100% (irritation score 0 points). In general, the synthesized DAVE monomer and its composite have shown low acute toxicity, the absence of local irritation and high biological safety, which confirms the prospects of their use as a promising organic matrix for dental composite materials.</w:t>
      </w:r>
    </w:p>
    <w:p w:rsidR="001C0519" w:rsidRPr="005653A1" w:rsidRDefault="001C0519" w:rsidP="005653A1">
      <w:pPr>
        <w:pStyle w:val="CETHeading1"/>
        <w:numPr>
          <w:ilvl w:val="1"/>
          <w:numId w:val="25"/>
        </w:numPr>
        <w:rPr>
          <w:rFonts w:cs="Arial"/>
          <w:sz w:val="18"/>
          <w:szCs w:val="18"/>
        </w:rPr>
      </w:pPr>
      <w:r w:rsidRPr="005653A1">
        <w:rPr>
          <w:rFonts w:cs="Arial"/>
          <w:sz w:val="18"/>
          <w:szCs w:val="18"/>
        </w:rPr>
        <w:t>REFERENCES</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Black J., 2005, Biological Performance of Materials: Fundamentals of Biocompatibility, CRC Press, doi.org/10.1201/9781420053940</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Chatzistavrou X., Velamakanni S., DiRenzo K., Lefkelidou A., Fenno J.C., Kasuga T., Boccaccini A.R., Papagerakis P., 2015, Designing dental composites with bioactive and bactericidal properties, Materials Science and Engineering C, 52, 267–272, doi.org/10.1016/j.msec.2015.03.062</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Cheng L., Weir M.D., Xu H.H.K., Antonucci J.M., Kraigsley A.M., Lin N.J., Lin-Gibson S., Zhou X., 2012, Antibacterial amorphous calcium phosphate nanocomposites with a quaternary ammonium dimethacrylate and silver nanoparticles, Dental Materials, 28(5), 561–572, doi.org/10.1016/j.dental.2012.01.005</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Imazato S., 2003, Antibacterial properties of resin composites and dentin bonding systems, Dental Materials, 19(6), 449–457, doi.org/10.1016/S0109-5641(02)00102-1</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Kirkpatrick C.J., Bittinger F., Wagner M., Köhler H., van Kooten T., Klein C.L., Otto M., 1998, Current trends in biocompatibility testing, Proceedings of the Institution of Mechanical Engineers Part H: Journal of Engineering in Medicine, 212(2), 75–84, doi.org/10.1243/0954411981533903</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Krifka S., Spagnuolo G., Schmalz G., Schweikl H., 2013, Adaptive mechanisms in cell responses to oxidative stress caused by dental resin monomers: A review, Biomaterials, 34(19), 4555–4563, doi.org/10.1016/j.biomaterials.2013.03.019</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Kuksenok V.Yu., Shtrykova V.V., 2023, Laboratory Practical Training in Organic Chemistry, Tomsk Polytechnic University</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Mahmudova F., Maksumova A., Matkarimova N., Tadjieva Sh., Latipova I., 2023, Study of the reaction of olefins with acetic acid, E3S Web of Conferences, doi.org/10.1051/e3sconf/202340214020</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Matkarimova N.S., Maksumova O.S., 2025, Synthesis of an ester based on bio-derived dicarboxylic acids and its prospects, Universum: Chemistry and Biology, 12(138), doi.org/10.32743/UniChem.2025.138.12.21414</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Matkarimova N.S., 2026, Rheological properties and thickening ability of a copolymer based on itaconic and (meth)acrylic acids, Universum: Chemistry and Biology, 4(142), Available at: 7universum.com/ru/nature/archive/item/22371</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Mjör I.A., 1992, Side effects of dental restorative materials, International Dental Journal, 42(1), 9–15, doi.org/10.1111/j.1875-595X.1992.tb00786.x</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Scott A., Egner W., Gawkrodger D.J., 2004, Occupational allergic contact dermatitis in dentistry, Contact Dermatitis, 50(2), 83–87, doi.org/10.1111/j.0105-1873.2004.00306.x</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Shahi S., Özcan M., Maleki Dizaj S., Sharifi S., Al-Haj Husain N., Eftekhari A., Ahmadian E., 2019, Potential toxicity of dental materials and screening of their biocompatibility: A review, Toxicology Mechanisms and Methods, 29(5), 368–377, doi.org/10.1080/15376516.2019.1566424</w:t>
      </w:r>
    </w:p>
    <w:p w:rsidR="00D0719E" w:rsidRPr="008F058E" w:rsidRDefault="00D0719E" w:rsidP="00D0719E">
      <w:pPr>
        <w:pStyle w:val="CETReferencetext"/>
        <w:rPr>
          <w:rFonts w:cs="Arial"/>
          <w:szCs w:val="18"/>
          <w:lang w:val="en-US" w:eastAsia="ru-RU"/>
        </w:rPr>
      </w:pPr>
      <w:r w:rsidRPr="008F058E">
        <w:rPr>
          <w:rFonts w:cs="Arial"/>
          <w:szCs w:val="18"/>
          <w:lang w:val="en-US" w:eastAsia="ru-RU"/>
        </w:rPr>
        <w:t>Williams D.F., 1999, The Williams Dictionary of Biomaterials, Liverpool University Press, doi.org/10.5949/liverpool/9780853239273.001.0001</w:t>
      </w:r>
    </w:p>
    <w:p w:rsidR="001C0519" w:rsidRPr="008F058E" w:rsidRDefault="00D0719E" w:rsidP="00D0719E">
      <w:pPr>
        <w:pStyle w:val="CETReferencetext"/>
        <w:rPr>
          <w:rFonts w:cs="Arial"/>
          <w:szCs w:val="18"/>
        </w:rPr>
      </w:pPr>
      <w:r w:rsidRPr="008F058E">
        <w:rPr>
          <w:rFonts w:cs="Arial"/>
          <w:szCs w:val="18"/>
          <w:lang w:val="en-US" w:eastAsia="ru-RU"/>
        </w:rPr>
        <w:t>Zhang K., Zhang N., Weir M.D., Reynolds M.A., Bai Y., Xu H.H.K., 2017, Bioactive dental composites and bonding agents with remineralizing and antibacterial characteristics, Dental Clinics of North America, 61(4), 669–687, doi.org/10.1016/j.cden.2017.05.002</w:t>
      </w:r>
    </w:p>
    <w:sectPr w:rsidR="001C0519" w:rsidRPr="008F058E" w:rsidSect="00A554B6">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436" w:rsidRDefault="008C2436" w:rsidP="004F5E36">
      <w:r>
        <w:separator/>
      </w:r>
    </w:p>
  </w:endnote>
  <w:endnote w:type="continuationSeparator" w:id="0">
    <w:p w:rsidR="008C2436" w:rsidRDefault="008C2436"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436" w:rsidRDefault="008C2436" w:rsidP="004F5E36">
      <w:r>
        <w:separator/>
      </w:r>
    </w:p>
  </w:footnote>
  <w:footnote w:type="continuationSeparator" w:id="0">
    <w:p w:rsidR="008C2436" w:rsidRDefault="008C2436"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2C71CDC"/>
    <w:multiLevelType w:val="multilevel"/>
    <w:tmpl w:val="B3F2C9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438217E"/>
    <w:multiLevelType w:val="multilevel"/>
    <w:tmpl w:val="8C38E8E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CC380EE2"/>
    <w:lvl w:ilvl="0" w:tplc="4AD8AF12">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5646CA3"/>
    <w:multiLevelType w:val="hybridMultilevel"/>
    <w:tmpl w:val="E1E461AC"/>
    <w:lvl w:ilvl="0" w:tplc="8A28959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8"/>
  </w:num>
  <w:num w:numId="13">
    <w:abstractNumId w:val="13"/>
  </w:num>
  <w:num w:numId="14">
    <w:abstractNumId w:val="19"/>
  </w:num>
  <w:num w:numId="15">
    <w:abstractNumId w:val="22"/>
  </w:num>
  <w:num w:numId="16">
    <w:abstractNumId w:val="21"/>
  </w:num>
  <w:num w:numId="17">
    <w:abstractNumId w:val="12"/>
  </w:num>
  <w:num w:numId="18">
    <w:abstractNumId w:val="13"/>
    <w:lvlOverride w:ilvl="0">
      <w:startOverride w:val="1"/>
    </w:lvlOverride>
  </w:num>
  <w:num w:numId="19">
    <w:abstractNumId w:val="17"/>
  </w:num>
  <w:num w:numId="20">
    <w:abstractNumId w:val="16"/>
  </w:num>
  <w:num w:numId="21">
    <w:abstractNumId w:val="15"/>
  </w:num>
  <w:num w:numId="22">
    <w:abstractNumId w:val="14"/>
  </w:num>
  <w:num w:numId="23">
    <w:abstractNumId w:val="20"/>
  </w:num>
  <w:num w:numId="24">
    <w:abstractNumId w:val="10"/>
  </w:num>
  <w:num w:numId="25">
    <w:abstractNumId w:val="11"/>
    <w:lvlOverride w:ilvl="0">
      <w:startOverride w:val="1"/>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2415"/>
    <w:rsid w:val="000173F9"/>
    <w:rsid w:val="000203C0"/>
    <w:rsid w:val="0003148D"/>
    <w:rsid w:val="00031EEC"/>
    <w:rsid w:val="0003263C"/>
    <w:rsid w:val="00036BBB"/>
    <w:rsid w:val="0004123D"/>
    <w:rsid w:val="00051566"/>
    <w:rsid w:val="000562A9"/>
    <w:rsid w:val="00062A9A"/>
    <w:rsid w:val="000636C5"/>
    <w:rsid w:val="00065058"/>
    <w:rsid w:val="000764BF"/>
    <w:rsid w:val="00086C39"/>
    <w:rsid w:val="00092FE3"/>
    <w:rsid w:val="000A03B2"/>
    <w:rsid w:val="000C62C0"/>
    <w:rsid w:val="000D0268"/>
    <w:rsid w:val="000D34BE"/>
    <w:rsid w:val="000E102F"/>
    <w:rsid w:val="000E36F1"/>
    <w:rsid w:val="000E3A73"/>
    <w:rsid w:val="000E414A"/>
    <w:rsid w:val="000E75FD"/>
    <w:rsid w:val="000F093C"/>
    <w:rsid w:val="000F72B9"/>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87527"/>
    <w:rsid w:val="0019398E"/>
    <w:rsid w:val="0019629C"/>
    <w:rsid w:val="001A024B"/>
    <w:rsid w:val="001A2C05"/>
    <w:rsid w:val="001A4AF7"/>
    <w:rsid w:val="001B0349"/>
    <w:rsid w:val="001B1E93"/>
    <w:rsid w:val="001B2EAC"/>
    <w:rsid w:val="001B65C1"/>
    <w:rsid w:val="001C0519"/>
    <w:rsid w:val="001C260F"/>
    <w:rsid w:val="001C33F1"/>
    <w:rsid w:val="001C684B"/>
    <w:rsid w:val="001D0CFB"/>
    <w:rsid w:val="001D21AF"/>
    <w:rsid w:val="001D53FC"/>
    <w:rsid w:val="001F42A5"/>
    <w:rsid w:val="001F7B9D"/>
    <w:rsid w:val="00201C93"/>
    <w:rsid w:val="002224B4"/>
    <w:rsid w:val="00224664"/>
    <w:rsid w:val="002373AB"/>
    <w:rsid w:val="002447EF"/>
    <w:rsid w:val="00251550"/>
    <w:rsid w:val="00263B05"/>
    <w:rsid w:val="0027094F"/>
    <w:rsid w:val="0027221A"/>
    <w:rsid w:val="00275B61"/>
    <w:rsid w:val="00280FAF"/>
    <w:rsid w:val="00282656"/>
    <w:rsid w:val="0028672A"/>
    <w:rsid w:val="00290E3C"/>
    <w:rsid w:val="00296B83"/>
    <w:rsid w:val="002B4015"/>
    <w:rsid w:val="002B78CE"/>
    <w:rsid w:val="002C2FB6"/>
    <w:rsid w:val="002C5986"/>
    <w:rsid w:val="002E3E55"/>
    <w:rsid w:val="002E5FA7"/>
    <w:rsid w:val="002F3309"/>
    <w:rsid w:val="003008CE"/>
    <w:rsid w:val="003009B7"/>
    <w:rsid w:val="00300E56"/>
    <w:rsid w:val="00300EA0"/>
    <w:rsid w:val="0030152C"/>
    <w:rsid w:val="0030469C"/>
    <w:rsid w:val="00321CA6"/>
    <w:rsid w:val="00323763"/>
    <w:rsid w:val="00323C5F"/>
    <w:rsid w:val="00334C09"/>
    <w:rsid w:val="00362D17"/>
    <w:rsid w:val="0036733A"/>
    <w:rsid w:val="003723D4"/>
    <w:rsid w:val="00375E44"/>
    <w:rsid w:val="00381905"/>
    <w:rsid w:val="00384CC8"/>
    <w:rsid w:val="003871FD"/>
    <w:rsid w:val="003A1E30"/>
    <w:rsid w:val="003A2829"/>
    <w:rsid w:val="003A7D1C"/>
    <w:rsid w:val="003B304B"/>
    <w:rsid w:val="003B3146"/>
    <w:rsid w:val="003D1E02"/>
    <w:rsid w:val="003D4C60"/>
    <w:rsid w:val="003D4CFF"/>
    <w:rsid w:val="003D4E97"/>
    <w:rsid w:val="003F015E"/>
    <w:rsid w:val="003F4698"/>
    <w:rsid w:val="00400414"/>
    <w:rsid w:val="00410C3F"/>
    <w:rsid w:val="0041446B"/>
    <w:rsid w:val="00427A94"/>
    <w:rsid w:val="0044071E"/>
    <w:rsid w:val="0044329C"/>
    <w:rsid w:val="00453E24"/>
    <w:rsid w:val="004571B8"/>
    <w:rsid w:val="00457456"/>
    <w:rsid w:val="004577FE"/>
    <w:rsid w:val="00457B9C"/>
    <w:rsid w:val="0046164A"/>
    <w:rsid w:val="004628D2"/>
    <w:rsid w:val="00462DCD"/>
    <w:rsid w:val="004648AD"/>
    <w:rsid w:val="00465022"/>
    <w:rsid w:val="0046625B"/>
    <w:rsid w:val="004676BD"/>
    <w:rsid w:val="004703A9"/>
    <w:rsid w:val="004760DE"/>
    <w:rsid w:val="004763D7"/>
    <w:rsid w:val="0048399B"/>
    <w:rsid w:val="004A004E"/>
    <w:rsid w:val="004A24CF"/>
    <w:rsid w:val="004A5E57"/>
    <w:rsid w:val="004C194F"/>
    <w:rsid w:val="004C3D1D"/>
    <w:rsid w:val="004C3D84"/>
    <w:rsid w:val="004C6440"/>
    <w:rsid w:val="004C7913"/>
    <w:rsid w:val="004D0ABA"/>
    <w:rsid w:val="004D5DE5"/>
    <w:rsid w:val="004E3531"/>
    <w:rsid w:val="004E4DD6"/>
    <w:rsid w:val="004F5E36"/>
    <w:rsid w:val="00507B47"/>
    <w:rsid w:val="00507BEF"/>
    <w:rsid w:val="00507CC9"/>
    <w:rsid w:val="00510647"/>
    <w:rsid w:val="005119A5"/>
    <w:rsid w:val="005278B7"/>
    <w:rsid w:val="00527F9A"/>
    <w:rsid w:val="00532016"/>
    <w:rsid w:val="005346C8"/>
    <w:rsid w:val="00537738"/>
    <w:rsid w:val="00540408"/>
    <w:rsid w:val="00543E7D"/>
    <w:rsid w:val="00547A68"/>
    <w:rsid w:val="005531C9"/>
    <w:rsid w:val="005653A1"/>
    <w:rsid w:val="00567534"/>
    <w:rsid w:val="00570C43"/>
    <w:rsid w:val="00592274"/>
    <w:rsid w:val="005A1D3A"/>
    <w:rsid w:val="005A5F1A"/>
    <w:rsid w:val="005B2110"/>
    <w:rsid w:val="005B61E6"/>
    <w:rsid w:val="005C77E1"/>
    <w:rsid w:val="005D668A"/>
    <w:rsid w:val="005D6A2F"/>
    <w:rsid w:val="005D6C27"/>
    <w:rsid w:val="005E0592"/>
    <w:rsid w:val="005E1A82"/>
    <w:rsid w:val="005E794C"/>
    <w:rsid w:val="005F0A28"/>
    <w:rsid w:val="005F0E5E"/>
    <w:rsid w:val="00600535"/>
    <w:rsid w:val="006015D5"/>
    <w:rsid w:val="00610CD6"/>
    <w:rsid w:val="006173FF"/>
    <w:rsid w:val="00620DEE"/>
    <w:rsid w:val="00621F92"/>
    <w:rsid w:val="0062280A"/>
    <w:rsid w:val="006231E1"/>
    <w:rsid w:val="00625639"/>
    <w:rsid w:val="00631B33"/>
    <w:rsid w:val="0064184D"/>
    <w:rsid w:val="006422CC"/>
    <w:rsid w:val="00651D18"/>
    <w:rsid w:val="00660E3E"/>
    <w:rsid w:val="00660EFD"/>
    <w:rsid w:val="00662E74"/>
    <w:rsid w:val="00664C40"/>
    <w:rsid w:val="00664F9F"/>
    <w:rsid w:val="006666E2"/>
    <w:rsid w:val="00680C23"/>
    <w:rsid w:val="00683E23"/>
    <w:rsid w:val="00693766"/>
    <w:rsid w:val="006939CF"/>
    <w:rsid w:val="006967D1"/>
    <w:rsid w:val="006A3281"/>
    <w:rsid w:val="006B37CD"/>
    <w:rsid w:val="006B39E2"/>
    <w:rsid w:val="006B4888"/>
    <w:rsid w:val="006C2AB3"/>
    <w:rsid w:val="006C2E45"/>
    <w:rsid w:val="006C359C"/>
    <w:rsid w:val="006C5579"/>
    <w:rsid w:val="006D6E8B"/>
    <w:rsid w:val="006D7209"/>
    <w:rsid w:val="006E737D"/>
    <w:rsid w:val="00707DD1"/>
    <w:rsid w:val="00713973"/>
    <w:rsid w:val="00720A24"/>
    <w:rsid w:val="00732386"/>
    <w:rsid w:val="007337A8"/>
    <w:rsid w:val="0073514D"/>
    <w:rsid w:val="007447F3"/>
    <w:rsid w:val="0075499F"/>
    <w:rsid w:val="007617CC"/>
    <w:rsid w:val="00765DF0"/>
    <w:rsid w:val="007661C8"/>
    <w:rsid w:val="0077098D"/>
    <w:rsid w:val="00785BF9"/>
    <w:rsid w:val="007931FA"/>
    <w:rsid w:val="007A47C1"/>
    <w:rsid w:val="007A4861"/>
    <w:rsid w:val="007A7BBA"/>
    <w:rsid w:val="007B0C50"/>
    <w:rsid w:val="007B48F9"/>
    <w:rsid w:val="007C1A43"/>
    <w:rsid w:val="007D0951"/>
    <w:rsid w:val="007D2037"/>
    <w:rsid w:val="007F27C8"/>
    <w:rsid w:val="0080013E"/>
    <w:rsid w:val="00813288"/>
    <w:rsid w:val="00816544"/>
    <w:rsid w:val="008168FC"/>
    <w:rsid w:val="00830996"/>
    <w:rsid w:val="008314D7"/>
    <w:rsid w:val="008345F1"/>
    <w:rsid w:val="00865B07"/>
    <w:rsid w:val="008667EA"/>
    <w:rsid w:val="0087637F"/>
    <w:rsid w:val="00892AD5"/>
    <w:rsid w:val="008A1512"/>
    <w:rsid w:val="008B4CF7"/>
    <w:rsid w:val="008C2436"/>
    <w:rsid w:val="008D32B9"/>
    <w:rsid w:val="008D433B"/>
    <w:rsid w:val="008D4A16"/>
    <w:rsid w:val="008E209A"/>
    <w:rsid w:val="008E24F1"/>
    <w:rsid w:val="008E45BC"/>
    <w:rsid w:val="008E566E"/>
    <w:rsid w:val="008F058E"/>
    <w:rsid w:val="0090161A"/>
    <w:rsid w:val="00901CBA"/>
    <w:rsid w:val="00901EB6"/>
    <w:rsid w:val="009041F8"/>
    <w:rsid w:val="00904C62"/>
    <w:rsid w:val="00922BA8"/>
    <w:rsid w:val="00924DAC"/>
    <w:rsid w:val="00927058"/>
    <w:rsid w:val="00934A03"/>
    <w:rsid w:val="0094218E"/>
    <w:rsid w:val="00942750"/>
    <w:rsid w:val="009450CE"/>
    <w:rsid w:val="009459BB"/>
    <w:rsid w:val="00947179"/>
    <w:rsid w:val="0095164B"/>
    <w:rsid w:val="00954090"/>
    <w:rsid w:val="009573E7"/>
    <w:rsid w:val="00963E05"/>
    <w:rsid w:val="00964A45"/>
    <w:rsid w:val="00967843"/>
    <w:rsid w:val="00967D54"/>
    <w:rsid w:val="00971028"/>
    <w:rsid w:val="009753F7"/>
    <w:rsid w:val="00986319"/>
    <w:rsid w:val="00993B84"/>
    <w:rsid w:val="00996483"/>
    <w:rsid w:val="00996F5A"/>
    <w:rsid w:val="009B041A"/>
    <w:rsid w:val="009C37C3"/>
    <w:rsid w:val="009C7C86"/>
    <w:rsid w:val="009D2D94"/>
    <w:rsid w:val="009D2FF7"/>
    <w:rsid w:val="009E7884"/>
    <w:rsid w:val="009E788A"/>
    <w:rsid w:val="009F0E08"/>
    <w:rsid w:val="009F5BAC"/>
    <w:rsid w:val="00A079AE"/>
    <w:rsid w:val="00A1763D"/>
    <w:rsid w:val="00A17CEC"/>
    <w:rsid w:val="00A21372"/>
    <w:rsid w:val="00A26CBB"/>
    <w:rsid w:val="00A27EF0"/>
    <w:rsid w:val="00A42361"/>
    <w:rsid w:val="00A50B20"/>
    <w:rsid w:val="00A51390"/>
    <w:rsid w:val="00A554B6"/>
    <w:rsid w:val="00A57589"/>
    <w:rsid w:val="00A60D13"/>
    <w:rsid w:val="00A65C2C"/>
    <w:rsid w:val="00A7223D"/>
    <w:rsid w:val="00A72745"/>
    <w:rsid w:val="00A76EFC"/>
    <w:rsid w:val="00A87D50"/>
    <w:rsid w:val="00A91010"/>
    <w:rsid w:val="00A97F29"/>
    <w:rsid w:val="00AA4545"/>
    <w:rsid w:val="00AA702E"/>
    <w:rsid w:val="00AA7D26"/>
    <w:rsid w:val="00AB0964"/>
    <w:rsid w:val="00AB5011"/>
    <w:rsid w:val="00AB6BA3"/>
    <w:rsid w:val="00AC7368"/>
    <w:rsid w:val="00AD0278"/>
    <w:rsid w:val="00AD16B9"/>
    <w:rsid w:val="00AE377D"/>
    <w:rsid w:val="00AF0EBA"/>
    <w:rsid w:val="00B00E46"/>
    <w:rsid w:val="00B02C8A"/>
    <w:rsid w:val="00B12893"/>
    <w:rsid w:val="00B17FBD"/>
    <w:rsid w:val="00B315A6"/>
    <w:rsid w:val="00B31813"/>
    <w:rsid w:val="00B33365"/>
    <w:rsid w:val="00B41009"/>
    <w:rsid w:val="00B468CB"/>
    <w:rsid w:val="00B57B36"/>
    <w:rsid w:val="00B57E6F"/>
    <w:rsid w:val="00B83985"/>
    <w:rsid w:val="00B8686D"/>
    <w:rsid w:val="00B93F69"/>
    <w:rsid w:val="00BB1DDC"/>
    <w:rsid w:val="00BC260C"/>
    <w:rsid w:val="00BC30C9"/>
    <w:rsid w:val="00BD077D"/>
    <w:rsid w:val="00BD16CD"/>
    <w:rsid w:val="00BE21CD"/>
    <w:rsid w:val="00BE3E58"/>
    <w:rsid w:val="00C01616"/>
    <w:rsid w:val="00C0162B"/>
    <w:rsid w:val="00C068ED"/>
    <w:rsid w:val="00C208E9"/>
    <w:rsid w:val="00C22E0C"/>
    <w:rsid w:val="00C345B1"/>
    <w:rsid w:val="00C40142"/>
    <w:rsid w:val="00C52A08"/>
    <w:rsid w:val="00C52C3C"/>
    <w:rsid w:val="00C56AE5"/>
    <w:rsid w:val="00C57182"/>
    <w:rsid w:val="00C57863"/>
    <w:rsid w:val="00C640AF"/>
    <w:rsid w:val="00C655FD"/>
    <w:rsid w:val="00C75407"/>
    <w:rsid w:val="00C841C6"/>
    <w:rsid w:val="00C870A8"/>
    <w:rsid w:val="00C91CCF"/>
    <w:rsid w:val="00C94434"/>
    <w:rsid w:val="00C969DB"/>
    <w:rsid w:val="00CA0D75"/>
    <w:rsid w:val="00CA1C95"/>
    <w:rsid w:val="00CA5A9C"/>
    <w:rsid w:val="00CB1A1D"/>
    <w:rsid w:val="00CB2614"/>
    <w:rsid w:val="00CC0F7B"/>
    <w:rsid w:val="00CC4C20"/>
    <w:rsid w:val="00CD3517"/>
    <w:rsid w:val="00CD5FE2"/>
    <w:rsid w:val="00CE1EA2"/>
    <w:rsid w:val="00CE39E4"/>
    <w:rsid w:val="00CE7C68"/>
    <w:rsid w:val="00CE7F3A"/>
    <w:rsid w:val="00D02B4C"/>
    <w:rsid w:val="00D040C4"/>
    <w:rsid w:val="00D0719E"/>
    <w:rsid w:val="00D20AD1"/>
    <w:rsid w:val="00D2582C"/>
    <w:rsid w:val="00D35B6F"/>
    <w:rsid w:val="00D46B7E"/>
    <w:rsid w:val="00D537A5"/>
    <w:rsid w:val="00D57C84"/>
    <w:rsid w:val="00D6057D"/>
    <w:rsid w:val="00D70CAE"/>
    <w:rsid w:val="00D71640"/>
    <w:rsid w:val="00D836C5"/>
    <w:rsid w:val="00D84576"/>
    <w:rsid w:val="00DA1399"/>
    <w:rsid w:val="00DA24C6"/>
    <w:rsid w:val="00DA4D7B"/>
    <w:rsid w:val="00DB6332"/>
    <w:rsid w:val="00DC6019"/>
    <w:rsid w:val="00DD271C"/>
    <w:rsid w:val="00DE264A"/>
    <w:rsid w:val="00DE4317"/>
    <w:rsid w:val="00DF5072"/>
    <w:rsid w:val="00E00D8F"/>
    <w:rsid w:val="00E02D18"/>
    <w:rsid w:val="00E041E7"/>
    <w:rsid w:val="00E16EC7"/>
    <w:rsid w:val="00E23CA1"/>
    <w:rsid w:val="00E35D7B"/>
    <w:rsid w:val="00E409A8"/>
    <w:rsid w:val="00E47D61"/>
    <w:rsid w:val="00E50C12"/>
    <w:rsid w:val="00E65B91"/>
    <w:rsid w:val="00E7209D"/>
    <w:rsid w:val="00E72EAD"/>
    <w:rsid w:val="00E76963"/>
    <w:rsid w:val="00E77223"/>
    <w:rsid w:val="00E8528B"/>
    <w:rsid w:val="00E85B94"/>
    <w:rsid w:val="00E978D0"/>
    <w:rsid w:val="00EA3F16"/>
    <w:rsid w:val="00EA4613"/>
    <w:rsid w:val="00EA7F91"/>
    <w:rsid w:val="00EB1523"/>
    <w:rsid w:val="00EC0E49"/>
    <w:rsid w:val="00EC101F"/>
    <w:rsid w:val="00EC1D9F"/>
    <w:rsid w:val="00EE0131"/>
    <w:rsid w:val="00EE17B0"/>
    <w:rsid w:val="00EF06D9"/>
    <w:rsid w:val="00EF0982"/>
    <w:rsid w:val="00F126A5"/>
    <w:rsid w:val="00F22F76"/>
    <w:rsid w:val="00F3049E"/>
    <w:rsid w:val="00F30C64"/>
    <w:rsid w:val="00F32BA2"/>
    <w:rsid w:val="00F32CDB"/>
    <w:rsid w:val="00F3348F"/>
    <w:rsid w:val="00F37280"/>
    <w:rsid w:val="00F37D7D"/>
    <w:rsid w:val="00F41EE4"/>
    <w:rsid w:val="00F4619E"/>
    <w:rsid w:val="00F47E8D"/>
    <w:rsid w:val="00F50BA3"/>
    <w:rsid w:val="00F565FE"/>
    <w:rsid w:val="00F63A70"/>
    <w:rsid w:val="00F63D8C"/>
    <w:rsid w:val="00F7534E"/>
    <w:rsid w:val="00F77BA1"/>
    <w:rsid w:val="00F93EDF"/>
    <w:rsid w:val="00FA043C"/>
    <w:rsid w:val="00FA1802"/>
    <w:rsid w:val="00FA21D0"/>
    <w:rsid w:val="00FA2890"/>
    <w:rsid w:val="00FA4F5B"/>
    <w:rsid w:val="00FA5F5F"/>
    <w:rsid w:val="00FB730C"/>
    <w:rsid w:val="00FC2695"/>
    <w:rsid w:val="00FC3E03"/>
    <w:rsid w:val="00FC3FC1"/>
    <w:rsid w:val="00FE56EE"/>
    <w:rsid w:val="00FF2C45"/>
    <w:rsid w:val="00FF72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3B5EED"/>
  <w14:defaultImageDpi w14:val="330"/>
  <w15:docId w15:val="{A7423062-330C-4D52-AE48-F9B5ADF17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line="264" w:lineRule="auto"/>
      <w:jc w:val="both"/>
    </w:pPr>
    <w:rPr>
      <w:rFonts w:ascii="Arial" w:eastAsia="Times New Roman" w:hAnsi="Arial"/>
      <w:sz w:val="18"/>
      <w:lang w:val="uz" w:eastAsia="en-US"/>
    </w:rPr>
  </w:style>
  <w:style w:type="paragraph" w:styleId="10">
    <w:name w:val="heading 1"/>
    <w:basedOn w:val="CETHeading1"/>
    <w:next w:val="a1"/>
    <w:link w:val="11"/>
    <w:uiPriority w:val="9"/>
    <w:rsid w:val="004F5E36"/>
    <w:pPr>
      <w:tabs>
        <w:tab w:val="clear" w:pos="360"/>
        <w:tab w:val="right" w:pos="7100"/>
      </w:tabs>
      <w:jc w:val="both"/>
      <w:outlineLvl w:val="0"/>
    </w:pPr>
  </w:style>
  <w:style w:type="paragraph" w:styleId="21">
    <w:name w:val="heading 2"/>
    <w:basedOn w:val="a1"/>
    <w:next w:val="a1"/>
    <w:link w:val="22"/>
    <w:uiPriority w:val="9"/>
    <w:semiHidden/>
    <w:unhideWhenUsed/>
    <w:qFormat/>
    <w:rsid w:val="0003148D"/>
    <w:pPr>
      <w:keepNext/>
      <w:keepLines/>
      <w:spacing w:before="200"/>
      <w:outlineLvl w:val="1"/>
    </w:pPr>
    <w:rPr>
      <w:rFonts w:ascii="Cambria" w:eastAsia="SimSun" w:hAnsi="Cambria"/>
      <w:b/>
      <w:bCs/>
      <w:color w:val="4F81BD"/>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Cambria" w:eastAsia="SimSun" w:hAnsi="Cambria"/>
      <w:b/>
      <w:bCs/>
      <w:color w:val="4F81BD"/>
    </w:rPr>
  </w:style>
  <w:style w:type="paragraph" w:styleId="41">
    <w:name w:val="heading 4"/>
    <w:basedOn w:val="a1"/>
    <w:next w:val="a1"/>
    <w:link w:val="42"/>
    <w:uiPriority w:val="9"/>
    <w:semiHidden/>
    <w:unhideWhenUsed/>
    <w:qFormat/>
    <w:rsid w:val="0003148D"/>
    <w:pPr>
      <w:keepNext/>
      <w:keepLines/>
      <w:spacing w:before="200"/>
      <w:outlineLvl w:val="3"/>
    </w:pPr>
    <w:rPr>
      <w:rFonts w:ascii="Cambria" w:eastAsia="SimSun" w:hAnsi="Cambria"/>
      <w:b/>
      <w:bCs/>
      <w:i/>
      <w:iCs/>
      <w:color w:val="4F81BD"/>
    </w:rPr>
  </w:style>
  <w:style w:type="paragraph" w:styleId="51">
    <w:name w:val="heading 5"/>
    <w:basedOn w:val="a1"/>
    <w:next w:val="a1"/>
    <w:link w:val="52"/>
    <w:uiPriority w:val="9"/>
    <w:semiHidden/>
    <w:unhideWhenUsed/>
    <w:qFormat/>
    <w:rsid w:val="0003148D"/>
    <w:pPr>
      <w:keepNext/>
      <w:keepLines/>
      <w:spacing w:before="200"/>
      <w:outlineLvl w:val="4"/>
    </w:pPr>
    <w:rPr>
      <w:rFonts w:ascii="Cambria" w:eastAsia="SimSun" w:hAnsi="Cambria"/>
      <w:color w:val="243F60"/>
    </w:rPr>
  </w:style>
  <w:style w:type="paragraph" w:styleId="6">
    <w:name w:val="heading 6"/>
    <w:basedOn w:val="a1"/>
    <w:next w:val="a1"/>
    <w:link w:val="60"/>
    <w:uiPriority w:val="9"/>
    <w:semiHidden/>
    <w:unhideWhenUsed/>
    <w:qFormat/>
    <w:rsid w:val="0003148D"/>
    <w:pPr>
      <w:keepNext/>
      <w:keepLines/>
      <w:spacing w:before="200"/>
      <w:outlineLvl w:val="5"/>
    </w:pPr>
    <w:rPr>
      <w:rFonts w:ascii="Cambria" w:eastAsia="SimSun" w:hAnsi="Cambria"/>
      <w:i/>
      <w:iCs/>
      <w:color w:val="243F60"/>
    </w:rPr>
  </w:style>
  <w:style w:type="paragraph" w:styleId="7">
    <w:name w:val="heading 7"/>
    <w:basedOn w:val="a1"/>
    <w:next w:val="a1"/>
    <w:link w:val="70"/>
    <w:uiPriority w:val="9"/>
    <w:semiHidden/>
    <w:unhideWhenUsed/>
    <w:qFormat/>
    <w:rsid w:val="0003148D"/>
    <w:pPr>
      <w:keepNext/>
      <w:keepLines/>
      <w:spacing w:before="200"/>
      <w:outlineLvl w:val="6"/>
    </w:pPr>
    <w:rPr>
      <w:rFonts w:ascii="Cambria" w:eastAsia="SimSun" w:hAnsi="Cambria"/>
      <w:i/>
      <w:iCs/>
      <w:color w:val="404040"/>
    </w:rPr>
  </w:style>
  <w:style w:type="paragraph" w:styleId="8">
    <w:name w:val="heading 8"/>
    <w:basedOn w:val="a1"/>
    <w:next w:val="a1"/>
    <w:link w:val="80"/>
    <w:uiPriority w:val="9"/>
    <w:semiHidden/>
    <w:unhideWhenUsed/>
    <w:qFormat/>
    <w:rsid w:val="0003148D"/>
    <w:pPr>
      <w:keepNext/>
      <w:keepLines/>
      <w:spacing w:before="200"/>
      <w:outlineLvl w:val="7"/>
    </w:pPr>
    <w:rPr>
      <w:rFonts w:ascii="Cambria" w:eastAsia="SimSun" w:hAnsi="Cambria"/>
      <w:color w:val="404040"/>
    </w:rPr>
  </w:style>
  <w:style w:type="paragraph" w:styleId="9">
    <w:name w:val="heading 9"/>
    <w:basedOn w:val="a1"/>
    <w:next w:val="a1"/>
    <w:link w:val="90"/>
    <w:uiPriority w:val="9"/>
    <w:semiHidden/>
    <w:unhideWhenUsed/>
    <w:qFormat/>
    <w:rsid w:val="0003148D"/>
    <w:pPr>
      <w:keepNext/>
      <w:keepLines/>
      <w:spacing w:before="200"/>
      <w:outlineLvl w:val="8"/>
    </w:pPr>
    <w:rPr>
      <w:rFonts w:ascii="Cambria" w:eastAsia="SimSun" w:hAnsi="Cambria"/>
      <w:i/>
      <w:iCs/>
      <w:color w:val="40404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sz w:val="32"/>
      <w:lang w:val="uz" w:eastAsia="en-US"/>
    </w:rPr>
  </w:style>
  <w:style w:type="character" w:customStyle="1" w:styleId="CETAuthorsCarattere">
    <w:name w:val="CET Authors Carattere"/>
    <w:link w:val="CETAuthors"/>
    <w:rsid w:val="009E788A"/>
    <w:rPr>
      <w:rFonts w:ascii="Arial" w:eastAsia="Times New Roman" w:hAnsi="Arial" w:cs="Times New Roman"/>
      <w:noProof/>
      <w:sz w:val="24"/>
      <w:szCs w:val="20"/>
      <w:lang w:val="uz"/>
    </w:rPr>
  </w:style>
  <w:style w:type="character" w:customStyle="1" w:styleId="CETTitleCarattere">
    <w:name w:val="CET Title Carattere"/>
    <w:link w:val="CETTitle"/>
    <w:rsid w:val="00FB730C"/>
    <w:rPr>
      <w:rFonts w:ascii="Arial" w:eastAsia="Times New Roman" w:hAnsi="Arial" w:cs="Times New Roman"/>
      <w:sz w:val="32"/>
      <w:szCs w:val="20"/>
      <w:lang w:val="uz"/>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pPr>
    <w:rPr>
      <w:rFonts w:ascii="Arial" w:eastAsia="Times New Roman" w:hAnsi="Arial"/>
      <w:b/>
      <w:lang w:val="uz" w:eastAsia="en-US"/>
    </w:rPr>
  </w:style>
  <w:style w:type="paragraph" w:customStyle="1" w:styleId="CETBodytext">
    <w:name w:val="CET Body text"/>
    <w:link w:val="CETBodytextCarattere"/>
    <w:qFormat/>
    <w:rsid w:val="000E414A"/>
    <w:pPr>
      <w:tabs>
        <w:tab w:val="right" w:pos="7100"/>
      </w:tabs>
      <w:spacing w:line="264" w:lineRule="auto"/>
      <w:jc w:val="both"/>
    </w:pPr>
    <w:rPr>
      <w:rFonts w:ascii="Arial" w:eastAsia="Times New Roman" w:hAnsi="Arial"/>
      <w:sz w:val="18"/>
      <w:lang w:val="uz" w:eastAsia="en-US"/>
    </w:rPr>
  </w:style>
  <w:style w:type="paragraph" w:customStyle="1" w:styleId="CETheadingx">
    <w:name w:val="CET headingx"/>
    <w:next w:val="CETBodytext"/>
    <w:link w:val="CETheadingxCarattere"/>
    <w:autoRedefine/>
    <w:qFormat/>
    <w:rsid w:val="009F5BAC"/>
    <w:pPr>
      <w:keepNext/>
      <w:numPr>
        <w:ilvl w:val="2"/>
        <w:numId w:val="1"/>
      </w:numPr>
      <w:suppressAutoHyphens/>
      <w:spacing w:before="120" w:after="120"/>
    </w:pPr>
    <w:rPr>
      <w:rFonts w:ascii="Arial" w:eastAsia="Times New Roman" w:hAnsi="Arial" w:cs="Arial"/>
      <w:b/>
      <w:iCs/>
      <w:sz w:val="18"/>
      <w:szCs w:val="18"/>
      <w:lang w:val="en-US"/>
    </w:rPr>
  </w:style>
  <w:style w:type="paragraph" w:customStyle="1" w:styleId="CETAddress">
    <w:name w:val="CET Address"/>
    <w:link w:val="CETAddressCarattere"/>
    <w:qFormat/>
    <w:rsid w:val="009E788A"/>
    <w:pPr>
      <w:keepNext/>
      <w:suppressAutoHyphens/>
      <w:spacing w:line="276" w:lineRule="auto"/>
      <w:contextualSpacing/>
    </w:pPr>
    <w:rPr>
      <w:rFonts w:ascii="Arial" w:eastAsia="Times New Roman" w:hAnsi="Arial"/>
      <w:noProof/>
      <w:sz w:val="16"/>
      <w:lang w:val="uz" w:eastAsia="en-US"/>
    </w:rPr>
  </w:style>
  <w:style w:type="table" w:styleId="1">
    <w:name w:val="Table Simple 1"/>
    <w:basedOn w:val="a3"/>
    <w:semiHidden/>
    <w:rsid w:val="000E414A"/>
    <w:pPr>
      <w:numPr>
        <w:ilvl w:val="3"/>
        <w:numId w:val="1"/>
      </w:numPr>
      <w:spacing w:line="264" w:lineRule="auto"/>
      <w:jc w:val="both"/>
    </w:pPr>
    <w:rPr>
      <w:rFonts w:ascii="Times New Roman" w:eastAsia="Times New Roman" w:hAnsi="Times New Roman"/>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uz"/>
    </w:rPr>
  </w:style>
  <w:style w:type="paragraph" w:customStyle="1" w:styleId="CETReference">
    <w:name w:val="CET Reference"/>
    <w:qFormat/>
    <w:rsid w:val="00FC2695"/>
    <w:pPr>
      <w:spacing w:before="200" w:after="120"/>
    </w:pPr>
    <w:rPr>
      <w:rFonts w:ascii="Arial" w:eastAsia="Times New Roman" w:hAnsi="Arial"/>
      <w:b/>
      <w:sz w:val="18"/>
      <w:lang w:val="uz" w:eastAsia="en-US"/>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i/>
      <w:sz w:val="18"/>
      <w:lang w:val="uz" w:eastAsia="en-US"/>
    </w:rPr>
  </w:style>
  <w:style w:type="character" w:customStyle="1" w:styleId="CETheadingxCarattere">
    <w:name w:val="CET headingx Carattere"/>
    <w:link w:val="CETheadingx"/>
    <w:rsid w:val="009F5BAC"/>
    <w:rPr>
      <w:rFonts w:ascii="Arial" w:eastAsia="Times New Roman" w:hAnsi="Arial" w:cs="Arial"/>
      <w:b/>
      <w:iCs/>
      <w:sz w:val="18"/>
      <w:szCs w:val="18"/>
      <w:lang w:val="en-US" w:eastAsia="ru-RU"/>
    </w:rPr>
  </w:style>
  <w:style w:type="character" w:customStyle="1" w:styleId="CETCaptionCarattere">
    <w:name w:val="CET Caption Carattere"/>
    <w:link w:val="CETCaption"/>
    <w:rsid w:val="00F7534E"/>
    <w:rPr>
      <w:rFonts w:ascii="Arial" w:eastAsia="Times New Roman" w:hAnsi="Arial" w:cs="Times New Roman"/>
      <w:i/>
      <w:sz w:val="18"/>
      <w:szCs w:val="20"/>
      <w:lang w:val="uz"/>
    </w:rPr>
  </w:style>
  <w:style w:type="paragraph" w:customStyle="1" w:styleId="CETBodytextItalic">
    <w:name w:val="CET Body text (Italic)"/>
    <w:basedOn w:val="CETBodytext"/>
    <w:qFormat/>
    <w:rsid w:val="004F5E36"/>
    <w:rPr>
      <w:i/>
    </w:rPr>
  </w:style>
  <w:style w:type="character" w:styleId="a5">
    <w:name w:val="annotation reference"/>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Cambria" w:eastAsia="SimSun" w:hAnsi="Cambria"/>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Cambria" w:eastAsia="SimSun" w:hAnsi="Cambria"/>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SimSun" w:hAnsi="Cambria"/>
      <w:sz w:val="24"/>
      <w:szCs w:val="24"/>
    </w:rPr>
  </w:style>
  <w:style w:type="character" w:customStyle="1" w:styleId="afc">
    <w:name w:val="Шапка Знак"/>
    <w:link w:val="afb"/>
    <w:uiPriority w:val="99"/>
    <w:semiHidden/>
    <w:rsid w:val="0003148D"/>
    <w:rPr>
      <w:rFonts w:ascii="Cambria" w:eastAsia="SimSun" w:hAnsi="Cambria" w:cs="Times New Roman"/>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link w:val="aff"/>
    <w:uiPriority w:val="99"/>
    <w:semiHidden/>
    <w:rsid w:val="0003148D"/>
    <w:rPr>
      <w:rFonts w:ascii="Tahoma" w:hAnsi="Tahoma" w:cs="Tahoma"/>
      <w:sz w:val="16"/>
      <w:szCs w:val="16"/>
    </w:rPr>
  </w:style>
  <w:style w:type="paragraph" w:styleId="aff1">
    <w:name w:val="Normal (Web)"/>
    <w:aliases w:val="Знак, Знак"/>
    <w:basedOn w:val="a1"/>
    <w:link w:val="aff2"/>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link w:val="HTML1"/>
    <w:uiPriority w:val="99"/>
    <w:semiHidden/>
    <w:rsid w:val="0003148D"/>
    <w:rPr>
      <w:rFonts w:ascii="Consolas" w:hAnsi="Consolas" w:cs="Consolas"/>
      <w:sz w:val="20"/>
      <w:szCs w:val="20"/>
    </w:rPr>
  </w:style>
  <w:style w:type="paragraph" w:styleId="aff3">
    <w:name w:val="Body Text First Indent"/>
    <w:basedOn w:val="a9"/>
    <w:link w:val="aff4"/>
    <w:uiPriority w:val="99"/>
    <w:semiHidden/>
    <w:unhideWhenUsed/>
    <w:rsid w:val="0003148D"/>
    <w:pPr>
      <w:spacing w:after="200"/>
      <w:ind w:firstLine="360"/>
    </w:pPr>
  </w:style>
  <w:style w:type="character" w:customStyle="1" w:styleId="aff4">
    <w:name w:val="Красная строка Знак"/>
    <w:basedOn w:val="aa"/>
    <w:link w:val="aff3"/>
    <w:uiPriority w:val="99"/>
    <w:semiHidden/>
    <w:rsid w:val="0003148D"/>
  </w:style>
  <w:style w:type="paragraph" w:styleId="aff5">
    <w:name w:val="Body Text Indent"/>
    <w:basedOn w:val="a1"/>
    <w:link w:val="aff6"/>
    <w:uiPriority w:val="99"/>
    <w:semiHidden/>
    <w:unhideWhenUsed/>
    <w:rsid w:val="0003148D"/>
    <w:pPr>
      <w:spacing w:after="120"/>
      <w:ind w:left="283"/>
    </w:pPr>
  </w:style>
  <w:style w:type="character" w:customStyle="1" w:styleId="aff6">
    <w:name w:val="Основной текст с отступом Знак"/>
    <w:basedOn w:val="a2"/>
    <w:link w:val="aff5"/>
    <w:uiPriority w:val="99"/>
    <w:semiHidden/>
    <w:rsid w:val="0003148D"/>
  </w:style>
  <w:style w:type="paragraph" w:styleId="29">
    <w:name w:val="Body Text First Indent 2"/>
    <w:basedOn w:val="aff5"/>
    <w:link w:val="2a"/>
    <w:uiPriority w:val="99"/>
    <w:semiHidden/>
    <w:unhideWhenUsed/>
    <w:rsid w:val="0003148D"/>
    <w:pPr>
      <w:spacing w:after="200"/>
      <w:ind w:left="360" w:firstLine="360"/>
    </w:pPr>
  </w:style>
  <w:style w:type="character" w:customStyle="1" w:styleId="2a">
    <w:name w:val="Красная строка 2 Знак"/>
    <w:basedOn w:val="aff6"/>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link w:val="38"/>
    <w:uiPriority w:val="99"/>
    <w:semiHidden/>
    <w:rsid w:val="0003148D"/>
    <w:rPr>
      <w:sz w:val="16"/>
      <w:szCs w:val="16"/>
    </w:rPr>
  </w:style>
  <w:style w:type="paragraph" w:styleId="aff7">
    <w:name w:val="Normal Indent"/>
    <w:basedOn w:val="a1"/>
    <w:uiPriority w:val="99"/>
    <w:semiHidden/>
    <w:unhideWhenUsed/>
    <w:rsid w:val="0003148D"/>
    <w:pPr>
      <w:ind w:left="720"/>
    </w:pPr>
  </w:style>
  <w:style w:type="paragraph" w:styleId="aff8">
    <w:name w:val="annotation text"/>
    <w:basedOn w:val="a1"/>
    <w:link w:val="aff9"/>
    <w:uiPriority w:val="99"/>
    <w:unhideWhenUsed/>
    <w:rsid w:val="0003148D"/>
    <w:pPr>
      <w:spacing w:line="240" w:lineRule="auto"/>
    </w:pPr>
  </w:style>
  <w:style w:type="character" w:customStyle="1" w:styleId="aff9">
    <w:name w:val="Текст примечания Знак"/>
    <w:link w:val="aff8"/>
    <w:uiPriority w:val="99"/>
    <w:rsid w:val="0003148D"/>
    <w:rPr>
      <w:sz w:val="20"/>
      <w:szCs w:val="20"/>
    </w:rPr>
  </w:style>
  <w:style w:type="paragraph" w:styleId="affa">
    <w:name w:val="annotation subject"/>
    <w:basedOn w:val="aff8"/>
    <w:next w:val="aff8"/>
    <w:link w:val="affb"/>
    <w:uiPriority w:val="99"/>
    <w:semiHidden/>
    <w:unhideWhenUsed/>
    <w:rsid w:val="0003148D"/>
    <w:rPr>
      <w:b/>
      <w:bCs/>
    </w:rPr>
  </w:style>
  <w:style w:type="character" w:customStyle="1" w:styleId="affb">
    <w:name w:val="Тема примечания Знак"/>
    <w:link w:val="affa"/>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c">
    <w:name w:val="Block Text"/>
    <w:basedOn w:val="a1"/>
    <w:uiPriority w:val="99"/>
    <w:semiHidden/>
    <w:unhideWhenUsed/>
    <w:rsid w:val="0003148D"/>
    <w:pPr>
      <w:pBdr>
        <w:top w:val="single" w:sz="2" w:space="10" w:color="4F81BD"/>
        <w:left w:val="single" w:sz="2" w:space="10" w:color="4F81BD"/>
        <w:bottom w:val="single" w:sz="2" w:space="10" w:color="4F81BD"/>
        <w:right w:val="single" w:sz="2" w:space="10" w:color="4F81BD"/>
      </w:pBdr>
      <w:ind w:left="1152" w:right="1152"/>
    </w:pPr>
    <w:rPr>
      <w:rFonts w:eastAsia="SimSun"/>
      <w:i/>
      <w:iCs/>
      <w:color w:val="4F81BD"/>
    </w:rPr>
  </w:style>
  <w:style w:type="paragraph" w:styleId="affd">
    <w:name w:val="macro"/>
    <w:link w:val="aff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cs="Consolas"/>
      <w:lang w:val="uz" w:eastAsia="en-US"/>
    </w:rPr>
  </w:style>
  <w:style w:type="character" w:customStyle="1" w:styleId="affe">
    <w:name w:val="Текст макроса Знак"/>
    <w:link w:val="affd"/>
    <w:uiPriority w:val="99"/>
    <w:semiHidden/>
    <w:rsid w:val="0003148D"/>
    <w:rPr>
      <w:rFonts w:ascii="Consolas" w:hAnsi="Consolas" w:cs="Consolas"/>
      <w:sz w:val="20"/>
      <w:szCs w:val="20"/>
    </w:rPr>
  </w:style>
  <w:style w:type="paragraph" w:styleId="afff">
    <w:name w:val="Plain Text"/>
    <w:basedOn w:val="a1"/>
    <w:link w:val="afff0"/>
    <w:uiPriority w:val="99"/>
    <w:semiHidden/>
    <w:unhideWhenUsed/>
    <w:rsid w:val="0003148D"/>
    <w:pPr>
      <w:spacing w:line="240" w:lineRule="auto"/>
    </w:pPr>
    <w:rPr>
      <w:rFonts w:ascii="Consolas" w:hAnsi="Consolas" w:cs="Consolas"/>
      <w:sz w:val="21"/>
      <w:szCs w:val="21"/>
    </w:rPr>
  </w:style>
  <w:style w:type="character" w:customStyle="1" w:styleId="afff0">
    <w:name w:val="Текст Знак"/>
    <w:link w:val="afff"/>
    <w:uiPriority w:val="99"/>
    <w:semiHidden/>
    <w:rsid w:val="0003148D"/>
    <w:rPr>
      <w:rFonts w:ascii="Consolas" w:hAnsi="Consolas" w:cs="Consolas"/>
      <w:sz w:val="21"/>
      <w:szCs w:val="21"/>
    </w:rPr>
  </w:style>
  <w:style w:type="paragraph" w:styleId="afff1">
    <w:name w:val="footnote text"/>
    <w:basedOn w:val="a1"/>
    <w:link w:val="afff2"/>
    <w:uiPriority w:val="99"/>
    <w:semiHidden/>
    <w:unhideWhenUsed/>
    <w:rsid w:val="0003148D"/>
    <w:pPr>
      <w:spacing w:line="240" w:lineRule="auto"/>
    </w:pPr>
  </w:style>
  <w:style w:type="character" w:customStyle="1" w:styleId="afff2">
    <w:name w:val="Текст сноски Знак"/>
    <w:link w:val="afff1"/>
    <w:uiPriority w:val="99"/>
    <w:semiHidden/>
    <w:rsid w:val="0003148D"/>
    <w:rPr>
      <w:sz w:val="20"/>
      <w:szCs w:val="20"/>
    </w:rPr>
  </w:style>
  <w:style w:type="paragraph" w:styleId="afff3">
    <w:name w:val="endnote text"/>
    <w:basedOn w:val="a1"/>
    <w:link w:val="afff4"/>
    <w:uiPriority w:val="99"/>
    <w:semiHidden/>
    <w:unhideWhenUsed/>
    <w:rsid w:val="0003148D"/>
    <w:pPr>
      <w:spacing w:line="240" w:lineRule="auto"/>
    </w:pPr>
  </w:style>
  <w:style w:type="character" w:customStyle="1" w:styleId="afff4">
    <w:name w:val="Текст концевой сноски Знак"/>
    <w:link w:val="afff3"/>
    <w:uiPriority w:val="99"/>
    <w:semiHidden/>
    <w:rsid w:val="0003148D"/>
    <w:rPr>
      <w:sz w:val="20"/>
      <w:szCs w:val="20"/>
    </w:rPr>
  </w:style>
  <w:style w:type="character" w:customStyle="1" w:styleId="11">
    <w:name w:val="Заголовок 1 Знак"/>
    <w:link w:val="10"/>
    <w:uiPriority w:val="9"/>
    <w:rsid w:val="004F5E36"/>
    <w:rPr>
      <w:rFonts w:ascii="Arial" w:eastAsia="Times New Roman" w:hAnsi="Arial" w:cs="Times New Roman"/>
      <w:b/>
      <w:sz w:val="20"/>
      <w:szCs w:val="20"/>
      <w:lang w:val="uz"/>
    </w:rPr>
  </w:style>
  <w:style w:type="character" w:customStyle="1" w:styleId="22">
    <w:name w:val="Заголовок 2 Знак"/>
    <w:link w:val="21"/>
    <w:uiPriority w:val="9"/>
    <w:semiHidden/>
    <w:rsid w:val="0003148D"/>
    <w:rPr>
      <w:rFonts w:ascii="Cambria" w:eastAsia="SimSun" w:hAnsi="Cambria" w:cs="Times New Roman"/>
      <w:b/>
      <w:bCs/>
      <w:color w:val="4F81BD"/>
      <w:sz w:val="26"/>
      <w:szCs w:val="26"/>
    </w:rPr>
  </w:style>
  <w:style w:type="character" w:customStyle="1" w:styleId="32">
    <w:name w:val="Заголовок 3 Знак"/>
    <w:link w:val="31"/>
    <w:uiPriority w:val="9"/>
    <w:semiHidden/>
    <w:rsid w:val="0003148D"/>
    <w:rPr>
      <w:rFonts w:ascii="Cambria" w:eastAsia="SimSun" w:hAnsi="Cambria" w:cs="Times New Roman"/>
      <w:b/>
      <w:bCs/>
      <w:color w:val="4F81BD"/>
    </w:rPr>
  </w:style>
  <w:style w:type="character" w:customStyle="1" w:styleId="42">
    <w:name w:val="Заголовок 4 Знак"/>
    <w:link w:val="41"/>
    <w:uiPriority w:val="9"/>
    <w:semiHidden/>
    <w:rsid w:val="0003148D"/>
    <w:rPr>
      <w:rFonts w:ascii="Cambria" w:eastAsia="SimSun" w:hAnsi="Cambria" w:cs="Times New Roman"/>
      <w:b/>
      <w:bCs/>
      <w:i/>
      <w:iCs/>
      <w:color w:val="4F81BD"/>
    </w:rPr>
  </w:style>
  <w:style w:type="character" w:customStyle="1" w:styleId="52">
    <w:name w:val="Заголовок 5 Знак"/>
    <w:link w:val="51"/>
    <w:uiPriority w:val="9"/>
    <w:semiHidden/>
    <w:rsid w:val="0003148D"/>
    <w:rPr>
      <w:rFonts w:ascii="Cambria" w:eastAsia="SimSun" w:hAnsi="Cambria" w:cs="Times New Roman"/>
      <w:color w:val="243F60"/>
    </w:rPr>
  </w:style>
  <w:style w:type="character" w:customStyle="1" w:styleId="60">
    <w:name w:val="Заголовок 6 Знак"/>
    <w:link w:val="6"/>
    <w:uiPriority w:val="9"/>
    <w:semiHidden/>
    <w:rsid w:val="0003148D"/>
    <w:rPr>
      <w:rFonts w:ascii="Cambria" w:eastAsia="SimSun" w:hAnsi="Cambria" w:cs="Times New Roman"/>
      <w:i/>
      <w:iCs/>
      <w:color w:val="243F60"/>
    </w:rPr>
  </w:style>
  <w:style w:type="character" w:customStyle="1" w:styleId="70">
    <w:name w:val="Заголовок 7 Знак"/>
    <w:link w:val="7"/>
    <w:uiPriority w:val="9"/>
    <w:semiHidden/>
    <w:rsid w:val="0003148D"/>
    <w:rPr>
      <w:rFonts w:ascii="Cambria" w:eastAsia="SimSun" w:hAnsi="Cambria" w:cs="Times New Roman"/>
      <w:i/>
      <w:iCs/>
      <w:color w:val="404040"/>
    </w:rPr>
  </w:style>
  <w:style w:type="character" w:customStyle="1" w:styleId="80">
    <w:name w:val="Заголовок 8 Знак"/>
    <w:link w:val="8"/>
    <w:uiPriority w:val="9"/>
    <w:semiHidden/>
    <w:rsid w:val="0003148D"/>
    <w:rPr>
      <w:rFonts w:ascii="Cambria" w:eastAsia="SimSun" w:hAnsi="Cambria" w:cs="Times New Roman"/>
      <w:color w:val="404040"/>
      <w:sz w:val="20"/>
      <w:szCs w:val="20"/>
    </w:rPr>
  </w:style>
  <w:style w:type="character" w:customStyle="1" w:styleId="90">
    <w:name w:val="Заголовок 9 Знак"/>
    <w:link w:val="9"/>
    <w:uiPriority w:val="9"/>
    <w:semiHidden/>
    <w:rsid w:val="0003148D"/>
    <w:rPr>
      <w:rFonts w:ascii="Cambria" w:eastAsia="SimSun" w:hAnsi="Cambria" w:cs="Times New Roman"/>
      <w:i/>
      <w:iCs/>
      <w:color w:val="404040"/>
      <w:sz w:val="20"/>
      <w:szCs w:val="20"/>
    </w:rPr>
  </w:style>
  <w:style w:type="paragraph" w:styleId="afff5">
    <w:name w:val="index heading"/>
    <w:basedOn w:val="a1"/>
    <w:next w:val="12"/>
    <w:uiPriority w:val="99"/>
    <w:semiHidden/>
    <w:unhideWhenUsed/>
    <w:rsid w:val="0003148D"/>
    <w:rPr>
      <w:rFonts w:ascii="Cambria" w:eastAsia="SimSun" w:hAnsi="Cambria"/>
      <w:b/>
      <w:bCs/>
    </w:rPr>
  </w:style>
  <w:style w:type="paragraph" w:styleId="afff6">
    <w:name w:val="toa heading"/>
    <w:basedOn w:val="a1"/>
    <w:next w:val="a1"/>
    <w:uiPriority w:val="99"/>
    <w:semiHidden/>
    <w:unhideWhenUsed/>
    <w:rsid w:val="0003148D"/>
    <w:pPr>
      <w:spacing w:before="120"/>
    </w:pPr>
    <w:rPr>
      <w:rFonts w:ascii="Cambria" w:eastAsia="SimSun" w:hAnsi="Cambria"/>
      <w:b/>
      <w:bCs/>
      <w:sz w:val="24"/>
      <w:szCs w:val="24"/>
    </w:rPr>
  </w:style>
  <w:style w:type="paragraph" w:styleId="afff7">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line="276" w:lineRule="auto"/>
    </w:pPr>
    <w:rPr>
      <w:rFonts w:ascii="Arial" w:eastAsia="Times New Roman" w:hAnsi="Arial"/>
      <w:noProof/>
      <w:sz w:val="16"/>
      <w:lang w:val="uz" w:eastAsia="en-US"/>
    </w:rPr>
  </w:style>
  <w:style w:type="character" w:customStyle="1" w:styleId="CETAddressCarattere">
    <w:name w:val="CET Address Carattere"/>
    <w:link w:val="CETAddress"/>
    <w:rsid w:val="009E788A"/>
    <w:rPr>
      <w:rFonts w:ascii="Arial" w:eastAsia="Times New Roman" w:hAnsi="Arial" w:cs="Times New Roman"/>
      <w:noProof/>
      <w:sz w:val="16"/>
      <w:szCs w:val="20"/>
      <w:lang w:val="uz"/>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line="264" w:lineRule="auto"/>
    </w:pPr>
    <w:rPr>
      <w:rFonts w:ascii="Arial" w:eastAsia="Times New Roman" w:hAnsi="Arial"/>
      <w:sz w:val="18"/>
      <w:lang w:val="uz" w:eastAsia="en-US"/>
    </w:rPr>
  </w:style>
  <w:style w:type="paragraph" w:customStyle="1" w:styleId="CETnumbering1">
    <w:name w:val="CET numbering (1"/>
    <w:aliases w:val="2..)"/>
    <w:rsid w:val="00B57B36"/>
    <w:pPr>
      <w:numPr>
        <w:numId w:val="14"/>
      </w:numPr>
      <w:spacing w:line="264" w:lineRule="auto"/>
      <w:ind w:left="340" w:hanging="227"/>
    </w:pPr>
    <w:rPr>
      <w:rFonts w:ascii="Arial" w:eastAsia="Times New Roman" w:hAnsi="Arial"/>
      <w:sz w:val="18"/>
      <w:lang w:val="uz" w:eastAsia="en-US"/>
    </w:rPr>
  </w:style>
  <w:style w:type="paragraph" w:customStyle="1" w:styleId="CETnumberinga">
    <w:name w:val="CET numbering (a"/>
    <w:aliases w:val="b,..)"/>
    <w:rsid w:val="00B57B36"/>
    <w:pPr>
      <w:numPr>
        <w:numId w:val="15"/>
      </w:numPr>
      <w:spacing w:line="264" w:lineRule="auto"/>
    </w:pPr>
    <w:rPr>
      <w:rFonts w:ascii="Arial" w:eastAsia="Times New Roman" w:hAnsi="Arial"/>
      <w:sz w:val="18"/>
      <w:lang w:val="uz" w:eastAsia="en-US"/>
    </w:rPr>
  </w:style>
  <w:style w:type="paragraph" w:styleId="afff8">
    <w:name w:val="header"/>
    <w:basedOn w:val="a1"/>
    <w:link w:val="afff9"/>
    <w:uiPriority w:val="99"/>
    <w:unhideWhenUsed/>
    <w:rsid w:val="005278B7"/>
    <w:pPr>
      <w:tabs>
        <w:tab w:val="clear" w:pos="7100"/>
        <w:tab w:val="center" w:pos="4819"/>
        <w:tab w:val="right" w:pos="9638"/>
      </w:tabs>
      <w:spacing w:line="240" w:lineRule="auto"/>
    </w:pPr>
  </w:style>
  <w:style w:type="character" w:customStyle="1" w:styleId="afff9">
    <w:name w:val="Верхний колонтитул Знак"/>
    <w:link w:val="afff8"/>
    <w:uiPriority w:val="99"/>
    <w:rsid w:val="005278B7"/>
    <w:rPr>
      <w:rFonts w:ascii="Arial" w:eastAsia="Times New Roman" w:hAnsi="Arial" w:cs="Times New Roman"/>
      <w:sz w:val="18"/>
      <w:szCs w:val="20"/>
      <w:lang w:val="uz"/>
    </w:rPr>
  </w:style>
  <w:style w:type="paragraph" w:styleId="afffa">
    <w:name w:val="footer"/>
    <w:basedOn w:val="a1"/>
    <w:link w:val="afffb"/>
    <w:uiPriority w:val="99"/>
    <w:unhideWhenUsed/>
    <w:rsid w:val="005278B7"/>
    <w:pPr>
      <w:tabs>
        <w:tab w:val="clear" w:pos="7100"/>
        <w:tab w:val="center" w:pos="4819"/>
        <w:tab w:val="right" w:pos="9638"/>
      </w:tabs>
      <w:spacing w:line="240" w:lineRule="auto"/>
    </w:pPr>
  </w:style>
  <w:style w:type="character" w:customStyle="1" w:styleId="afffb">
    <w:name w:val="Нижний колонтитул Знак"/>
    <w:link w:val="afffa"/>
    <w:uiPriority w:val="99"/>
    <w:rsid w:val="005278B7"/>
    <w:rPr>
      <w:rFonts w:ascii="Arial" w:eastAsia="Times New Roman" w:hAnsi="Arial" w:cs="Times New Roman"/>
      <w:sz w:val="18"/>
      <w:szCs w:val="20"/>
      <w:lang w:val="uz"/>
    </w:rPr>
  </w:style>
  <w:style w:type="table" w:styleId="afffc">
    <w:name w:val="Table Grid"/>
    <w:basedOn w:val="a3"/>
    <w:uiPriority w:val="39"/>
    <w:rsid w:val="00660E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Hyperlink"/>
    <w:uiPriority w:val="99"/>
    <w:unhideWhenUsed/>
    <w:rsid w:val="00904C62"/>
    <w:rPr>
      <w:color w:val="0000FF"/>
      <w:u w:val="single"/>
    </w:rPr>
  </w:style>
  <w:style w:type="character" w:customStyle="1" w:styleId="eudoraheader">
    <w:name w:val="eudoraheader"/>
    <w:basedOn w:val="a2"/>
    <w:rsid w:val="00904C62"/>
  </w:style>
  <w:style w:type="paragraph" w:customStyle="1" w:styleId="CETListbullets">
    <w:name w:val="CET List bullets"/>
    <w:qFormat/>
    <w:rsid w:val="004577FE"/>
    <w:pPr>
      <w:spacing w:line="264" w:lineRule="auto"/>
      <w:ind w:left="340" w:hanging="227"/>
      <w:jc w:val="both"/>
    </w:pPr>
    <w:rPr>
      <w:rFonts w:ascii="Arial" w:eastAsia="Times New Roman" w:hAnsi="Arial"/>
      <w:sz w:val="18"/>
      <w:lang w:val="uz" w:eastAsia="en-US"/>
    </w:rPr>
  </w:style>
  <w:style w:type="paragraph" w:customStyle="1" w:styleId="CETReferencetext">
    <w:name w:val="CET Reference text"/>
    <w:qFormat/>
    <w:rsid w:val="00600535"/>
    <w:pPr>
      <w:spacing w:line="264" w:lineRule="auto"/>
      <w:ind w:left="284" w:hanging="284"/>
      <w:jc w:val="both"/>
    </w:pPr>
    <w:rPr>
      <w:rFonts w:ascii="Arial" w:eastAsia="Times New Roman" w:hAnsi="Arial"/>
      <w:sz w:val="18"/>
      <w:lang w:val="uz" w:eastAsia="en-US"/>
    </w:rPr>
  </w:style>
  <w:style w:type="paragraph" w:customStyle="1" w:styleId="CETTabletitle">
    <w:name w:val="CET Table title"/>
    <w:qFormat/>
    <w:rsid w:val="00600535"/>
    <w:pPr>
      <w:keepNext/>
      <w:spacing w:before="240" w:after="80" w:line="240" w:lineRule="exact"/>
    </w:pPr>
    <w:rPr>
      <w:rFonts w:ascii="Arial" w:eastAsia="Times New Roman" w:hAnsi="Arial"/>
      <w:i/>
      <w:sz w:val="18"/>
      <w:lang w:val="uz" w:eastAsia="en-US"/>
    </w:rPr>
  </w:style>
  <w:style w:type="paragraph" w:customStyle="1" w:styleId="CETAcknowledgementstitle">
    <w:name w:val="CET Acknowledgements title"/>
    <w:next w:val="CETBodytext"/>
    <w:qFormat/>
    <w:rsid w:val="00600535"/>
    <w:pPr>
      <w:spacing w:before="200" w:after="120" w:line="276" w:lineRule="auto"/>
    </w:pPr>
    <w:rPr>
      <w:rFonts w:ascii="Arial" w:eastAsia="Times New Roman" w:hAnsi="Arial"/>
      <w:b/>
      <w:sz w:val="18"/>
      <w:lang w:val="uz" w:eastAsia="en-US"/>
    </w:rPr>
  </w:style>
  <w:style w:type="paragraph" w:customStyle="1" w:styleId="CETEquation">
    <w:name w:val="CET Equation"/>
    <w:basedOn w:val="CETBodytext"/>
    <w:next w:val="CETBodytext"/>
    <w:qFormat/>
    <w:rsid w:val="00600535"/>
    <w:pPr>
      <w:spacing w:before="120" w:after="120"/>
      <w:jc w:val="left"/>
    </w:p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link w:val="CETHeadingxx"/>
    <w:rsid w:val="000F787B"/>
    <w:rPr>
      <w:rFonts w:ascii="Arial" w:eastAsia="Times New Roman" w:hAnsi="Arial" w:cs="Times New Roman"/>
      <w:b/>
      <w:bCs w:val="0"/>
      <w:iCs/>
      <w:sz w:val="18"/>
      <w:szCs w:val="20"/>
      <w:lang w:val="uz" w:eastAsia="ru-RU"/>
    </w:rPr>
  </w:style>
  <w:style w:type="paragraph" w:styleId="afffe">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paragraph" w:customStyle="1" w:styleId="AuthorAffiliation">
    <w:name w:val="Author Affiliation"/>
    <w:basedOn w:val="a1"/>
    <w:rsid w:val="00A21372"/>
    <w:pPr>
      <w:tabs>
        <w:tab w:val="clear" w:pos="7100"/>
      </w:tabs>
      <w:spacing w:line="240" w:lineRule="auto"/>
      <w:jc w:val="center"/>
    </w:pPr>
    <w:rPr>
      <w:rFonts w:ascii="Times New Roman" w:hAnsi="Times New Roman"/>
      <w:i/>
      <w:sz w:val="20"/>
      <w:lang w:val="en-US"/>
    </w:rPr>
  </w:style>
  <w:style w:type="character" w:customStyle="1" w:styleId="aff2">
    <w:name w:val="Обычный (веб) Знак"/>
    <w:aliases w:val="Знак Знак, Знак Знак"/>
    <w:link w:val="aff1"/>
    <w:uiPriority w:val="99"/>
    <w:locked/>
    <w:rsid w:val="001C0519"/>
    <w:rPr>
      <w:rFonts w:ascii="Arial" w:eastAsia="Times New Roman" w:hAnsi="Arial" w:cs="Times New Roman"/>
      <w:sz w:val="24"/>
      <w:szCs w:val="24"/>
    </w:rPr>
  </w:style>
  <w:style w:type="character" w:styleId="affff">
    <w:name w:val="Emphasis"/>
    <w:uiPriority w:val="20"/>
    <w:qFormat/>
    <w:rsid w:val="001C0519"/>
    <w:rPr>
      <w:i/>
      <w:iCs/>
    </w:rPr>
  </w:style>
  <w:style w:type="character" w:customStyle="1" w:styleId="fontstyle01">
    <w:name w:val="fontstyle01"/>
    <w:rsid w:val="001C0519"/>
    <w:rPr>
      <w:rFonts w:ascii="Times New Roman" w:hAnsi="Times New Roman" w:cs="Times New Roman" w:hint="default"/>
      <w:b w:val="0"/>
      <w:bCs w:val="0"/>
      <w:i w:val="0"/>
      <w:iCs w:val="0"/>
      <w:color w:val="000000"/>
      <w:sz w:val="28"/>
      <w:szCs w:val="28"/>
    </w:rPr>
  </w:style>
  <w:style w:type="character" w:styleId="affff0">
    <w:name w:val="FollowedHyperlink"/>
    <w:uiPriority w:val="99"/>
    <w:semiHidden/>
    <w:unhideWhenUsed/>
    <w:rsid w:val="00F50BA3"/>
    <w:rPr>
      <w:color w:val="800080"/>
      <w:u w:val="single"/>
    </w:rPr>
  </w:style>
  <w:style w:type="paragraph" w:customStyle="1" w:styleId="leading-8">
    <w:name w:val="leading-8"/>
    <w:basedOn w:val="a1"/>
    <w:rsid w:val="00375E44"/>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paragraph" w:customStyle="1" w:styleId="affff1">
    <w:basedOn w:val="a1"/>
    <w:next w:val="aff1"/>
    <w:uiPriority w:val="99"/>
    <w:unhideWhenUsed/>
    <w:rsid w:val="00D0719E"/>
    <w:rPr>
      <w:sz w:val="24"/>
      <w:szCs w:val="24"/>
      <w:lang w:val="en-GB"/>
    </w:rPr>
  </w:style>
  <w:style w:type="character" w:styleId="affff2">
    <w:name w:val="Strong"/>
    <w:uiPriority w:val="22"/>
    <w:qFormat/>
    <w:rsid w:val="000636C5"/>
    <w:rPr>
      <w:b/>
      <w:bCs/>
    </w:rPr>
  </w:style>
  <w:style w:type="paragraph" w:customStyle="1" w:styleId="isselectedend">
    <w:name w:val="isselectedend"/>
    <w:basedOn w:val="a1"/>
    <w:rsid w:val="00567534"/>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1873">
      <w:bodyDiv w:val="1"/>
      <w:marLeft w:val="0"/>
      <w:marRight w:val="0"/>
      <w:marTop w:val="0"/>
      <w:marBottom w:val="0"/>
      <w:divBdr>
        <w:top w:val="none" w:sz="0" w:space="0" w:color="auto"/>
        <w:left w:val="none" w:sz="0" w:space="0" w:color="auto"/>
        <w:bottom w:val="none" w:sz="0" w:space="0" w:color="auto"/>
        <w:right w:val="none" w:sz="0" w:space="0" w:color="auto"/>
      </w:divBdr>
      <w:divsChild>
        <w:div w:id="365570117">
          <w:marLeft w:val="0"/>
          <w:marRight w:val="0"/>
          <w:marTop w:val="0"/>
          <w:marBottom w:val="0"/>
          <w:divBdr>
            <w:top w:val="none" w:sz="0" w:space="0" w:color="auto"/>
            <w:left w:val="none" w:sz="0" w:space="0" w:color="auto"/>
            <w:bottom w:val="none" w:sz="0" w:space="0" w:color="auto"/>
            <w:right w:val="none" w:sz="0" w:space="0" w:color="auto"/>
          </w:divBdr>
          <w:divsChild>
            <w:div w:id="19685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30744">
      <w:bodyDiv w:val="1"/>
      <w:marLeft w:val="0"/>
      <w:marRight w:val="0"/>
      <w:marTop w:val="0"/>
      <w:marBottom w:val="0"/>
      <w:divBdr>
        <w:top w:val="none" w:sz="0" w:space="0" w:color="auto"/>
        <w:left w:val="none" w:sz="0" w:space="0" w:color="auto"/>
        <w:bottom w:val="none" w:sz="0" w:space="0" w:color="auto"/>
        <w:right w:val="none" w:sz="0" w:space="0" w:color="auto"/>
      </w:divBdr>
    </w:div>
    <w:div w:id="90470097">
      <w:bodyDiv w:val="1"/>
      <w:marLeft w:val="0"/>
      <w:marRight w:val="0"/>
      <w:marTop w:val="0"/>
      <w:marBottom w:val="0"/>
      <w:divBdr>
        <w:top w:val="none" w:sz="0" w:space="0" w:color="auto"/>
        <w:left w:val="none" w:sz="0" w:space="0" w:color="auto"/>
        <w:bottom w:val="none" w:sz="0" w:space="0" w:color="auto"/>
        <w:right w:val="none" w:sz="0" w:space="0" w:color="auto"/>
      </w:divBdr>
    </w:div>
    <w:div w:id="205262540">
      <w:bodyDiv w:val="1"/>
      <w:marLeft w:val="0"/>
      <w:marRight w:val="0"/>
      <w:marTop w:val="0"/>
      <w:marBottom w:val="0"/>
      <w:divBdr>
        <w:top w:val="none" w:sz="0" w:space="0" w:color="auto"/>
        <w:left w:val="none" w:sz="0" w:space="0" w:color="auto"/>
        <w:bottom w:val="none" w:sz="0" w:space="0" w:color="auto"/>
        <w:right w:val="none" w:sz="0" w:space="0" w:color="auto"/>
      </w:divBdr>
    </w:div>
    <w:div w:id="223681775">
      <w:bodyDiv w:val="1"/>
      <w:marLeft w:val="0"/>
      <w:marRight w:val="0"/>
      <w:marTop w:val="0"/>
      <w:marBottom w:val="0"/>
      <w:divBdr>
        <w:top w:val="none" w:sz="0" w:space="0" w:color="auto"/>
        <w:left w:val="none" w:sz="0" w:space="0" w:color="auto"/>
        <w:bottom w:val="none" w:sz="0" w:space="0" w:color="auto"/>
        <w:right w:val="none" w:sz="0" w:space="0" w:color="auto"/>
      </w:divBdr>
    </w:div>
    <w:div w:id="288439925">
      <w:bodyDiv w:val="1"/>
      <w:marLeft w:val="0"/>
      <w:marRight w:val="0"/>
      <w:marTop w:val="0"/>
      <w:marBottom w:val="0"/>
      <w:divBdr>
        <w:top w:val="none" w:sz="0" w:space="0" w:color="auto"/>
        <w:left w:val="none" w:sz="0" w:space="0" w:color="auto"/>
        <w:bottom w:val="none" w:sz="0" w:space="0" w:color="auto"/>
        <w:right w:val="none" w:sz="0" w:space="0" w:color="auto"/>
      </w:divBdr>
    </w:div>
    <w:div w:id="364137285">
      <w:bodyDiv w:val="1"/>
      <w:marLeft w:val="0"/>
      <w:marRight w:val="0"/>
      <w:marTop w:val="0"/>
      <w:marBottom w:val="0"/>
      <w:divBdr>
        <w:top w:val="none" w:sz="0" w:space="0" w:color="auto"/>
        <w:left w:val="none" w:sz="0" w:space="0" w:color="auto"/>
        <w:bottom w:val="none" w:sz="0" w:space="0" w:color="auto"/>
        <w:right w:val="none" w:sz="0" w:space="0" w:color="auto"/>
      </w:divBdr>
    </w:div>
    <w:div w:id="383063887">
      <w:bodyDiv w:val="1"/>
      <w:marLeft w:val="0"/>
      <w:marRight w:val="0"/>
      <w:marTop w:val="0"/>
      <w:marBottom w:val="0"/>
      <w:divBdr>
        <w:top w:val="none" w:sz="0" w:space="0" w:color="auto"/>
        <w:left w:val="none" w:sz="0" w:space="0" w:color="auto"/>
        <w:bottom w:val="none" w:sz="0" w:space="0" w:color="auto"/>
        <w:right w:val="none" w:sz="0" w:space="0" w:color="auto"/>
      </w:divBdr>
    </w:div>
    <w:div w:id="564923746">
      <w:bodyDiv w:val="1"/>
      <w:marLeft w:val="0"/>
      <w:marRight w:val="0"/>
      <w:marTop w:val="0"/>
      <w:marBottom w:val="0"/>
      <w:divBdr>
        <w:top w:val="none" w:sz="0" w:space="0" w:color="auto"/>
        <w:left w:val="none" w:sz="0" w:space="0" w:color="auto"/>
        <w:bottom w:val="none" w:sz="0" w:space="0" w:color="auto"/>
        <w:right w:val="none" w:sz="0" w:space="0" w:color="auto"/>
      </w:divBdr>
    </w:div>
    <w:div w:id="629626242">
      <w:bodyDiv w:val="1"/>
      <w:marLeft w:val="0"/>
      <w:marRight w:val="0"/>
      <w:marTop w:val="0"/>
      <w:marBottom w:val="0"/>
      <w:divBdr>
        <w:top w:val="none" w:sz="0" w:space="0" w:color="auto"/>
        <w:left w:val="none" w:sz="0" w:space="0" w:color="auto"/>
        <w:bottom w:val="none" w:sz="0" w:space="0" w:color="auto"/>
        <w:right w:val="none" w:sz="0" w:space="0" w:color="auto"/>
      </w:divBdr>
    </w:div>
    <w:div w:id="640769818">
      <w:bodyDiv w:val="1"/>
      <w:marLeft w:val="0"/>
      <w:marRight w:val="0"/>
      <w:marTop w:val="0"/>
      <w:marBottom w:val="0"/>
      <w:divBdr>
        <w:top w:val="none" w:sz="0" w:space="0" w:color="auto"/>
        <w:left w:val="none" w:sz="0" w:space="0" w:color="auto"/>
        <w:bottom w:val="none" w:sz="0" w:space="0" w:color="auto"/>
        <w:right w:val="none" w:sz="0" w:space="0" w:color="auto"/>
      </w:divBdr>
    </w:div>
    <w:div w:id="764810245">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05732">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058290">
      <w:bodyDiv w:val="1"/>
      <w:marLeft w:val="0"/>
      <w:marRight w:val="0"/>
      <w:marTop w:val="0"/>
      <w:marBottom w:val="0"/>
      <w:divBdr>
        <w:top w:val="none" w:sz="0" w:space="0" w:color="auto"/>
        <w:left w:val="none" w:sz="0" w:space="0" w:color="auto"/>
        <w:bottom w:val="none" w:sz="0" w:space="0" w:color="auto"/>
        <w:right w:val="none" w:sz="0" w:space="0" w:color="auto"/>
      </w:divBdr>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430001">
      <w:bodyDiv w:val="1"/>
      <w:marLeft w:val="0"/>
      <w:marRight w:val="0"/>
      <w:marTop w:val="0"/>
      <w:marBottom w:val="0"/>
      <w:divBdr>
        <w:top w:val="none" w:sz="0" w:space="0" w:color="auto"/>
        <w:left w:val="none" w:sz="0" w:space="0" w:color="auto"/>
        <w:bottom w:val="none" w:sz="0" w:space="0" w:color="auto"/>
        <w:right w:val="none" w:sz="0" w:space="0" w:color="auto"/>
      </w:divBdr>
    </w:div>
    <w:div w:id="1034843568">
      <w:bodyDiv w:val="1"/>
      <w:marLeft w:val="0"/>
      <w:marRight w:val="0"/>
      <w:marTop w:val="0"/>
      <w:marBottom w:val="0"/>
      <w:divBdr>
        <w:top w:val="none" w:sz="0" w:space="0" w:color="auto"/>
        <w:left w:val="none" w:sz="0" w:space="0" w:color="auto"/>
        <w:bottom w:val="none" w:sz="0" w:space="0" w:color="auto"/>
        <w:right w:val="none" w:sz="0" w:space="0" w:color="auto"/>
      </w:divBdr>
    </w:div>
    <w:div w:id="1035621621">
      <w:bodyDiv w:val="1"/>
      <w:marLeft w:val="0"/>
      <w:marRight w:val="0"/>
      <w:marTop w:val="0"/>
      <w:marBottom w:val="0"/>
      <w:divBdr>
        <w:top w:val="none" w:sz="0" w:space="0" w:color="auto"/>
        <w:left w:val="none" w:sz="0" w:space="0" w:color="auto"/>
        <w:bottom w:val="none" w:sz="0" w:space="0" w:color="auto"/>
        <w:right w:val="none" w:sz="0" w:space="0" w:color="auto"/>
      </w:divBdr>
    </w:div>
    <w:div w:id="1200625541">
      <w:bodyDiv w:val="1"/>
      <w:marLeft w:val="0"/>
      <w:marRight w:val="0"/>
      <w:marTop w:val="0"/>
      <w:marBottom w:val="0"/>
      <w:divBdr>
        <w:top w:val="none" w:sz="0" w:space="0" w:color="auto"/>
        <w:left w:val="none" w:sz="0" w:space="0" w:color="auto"/>
        <w:bottom w:val="none" w:sz="0" w:space="0" w:color="auto"/>
        <w:right w:val="none" w:sz="0" w:space="0" w:color="auto"/>
      </w:divBdr>
      <w:divsChild>
        <w:div w:id="36323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98181">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73807984">
      <w:bodyDiv w:val="1"/>
      <w:marLeft w:val="0"/>
      <w:marRight w:val="0"/>
      <w:marTop w:val="0"/>
      <w:marBottom w:val="0"/>
      <w:divBdr>
        <w:top w:val="none" w:sz="0" w:space="0" w:color="auto"/>
        <w:left w:val="none" w:sz="0" w:space="0" w:color="auto"/>
        <w:bottom w:val="none" w:sz="0" w:space="0" w:color="auto"/>
        <w:right w:val="none" w:sz="0" w:space="0" w:color="auto"/>
      </w:divBdr>
    </w:div>
    <w:div w:id="1608653677">
      <w:bodyDiv w:val="1"/>
      <w:marLeft w:val="0"/>
      <w:marRight w:val="0"/>
      <w:marTop w:val="0"/>
      <w:marBottom w:val="0"/>
      <w:divBdr>
        <w:top w:val="none" w:sz="0" w:space="0" w:color="auto"/>
        <w:left w:val="none" w:sz="0" w:space="0" w:color="auto"/>
        <w:bottom w:val="none" w:sz="0" w:space="0" w:color="auto"/>
        <w:right w:val="none" w:sz="0" w:space="0" w:color="auto"/>
      </w:divBdr>
    </w:div>
    <w:div w:id="1669402097">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00876">
      <w:bodyDiv w:val="1"/>
      <w:marLeft w:val="0"/>
      <w:marRight w:val="0"/>
      <w:marTop w:val="0"/>
      <w:marBottom w:val="0"/>
      <w:divBdr>
        <w:top w:val="none" w:sz="0" w:space="0" w:color="auto"/>
        <w:left w:val="none" w:sz="0" w:space="0" w:color="auto"/>
        <w:bottom w:val="none" w:sz="0" w:space="0" w:color="auto"/>
        <w:right w:val="none" w:sz="0" w:space="0" w:color="auto"/>
      </w:divBdr>
    </w:div>
    <w:div w:id="1733850563">
      <w:bodyDiv w:val="1"/>
      <w:marLeft w:val="0"/>
      <w:marRight w:val="0"/>
      <w:marTop w:val="0"/>
      <w:marBottom w:val="0"/>
      <w:divBdr>
        <w:top w:val="none" w:sz="0" w:space="0" w:color="auto"/>
        <w:left w:val="none" w:sz="0" w:space="0" w:color="auto"/>
        <w:bottom w:val="none" w:sz="0" w:space="0" w:color="auto"/>
        <w:right w:val="none" w:sz="0" w:space="0" w:color="auto"/>
      </w:divBdr>
    </w:div>
    <w:div w:id="1848668633">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nigoramatkarimova9@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313AE-E2B8-4391-8DC6-5B50BA52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3284</Words>
  <Characters>18722</Characters>
  <Application>Microsoft Office Word</Application>
  <DocSecurity>0</DocSecurity>
  <Lines>156</Lines>
  <Paragraphs>43</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21963</CharactersWithSpaces>
  <SharedDoc>false</SharedDoc>
  <HLinks>
    <vt:vector size="6" baseType="variant">
      <vt:variant>
        <vt:i4>196734</vt:i4>
      </vt:variant>
      <vt:variant>
        <vt:i4>0</vt:i4>
      </vt:variant>
      <vt:variant>
        <vt:i4>0</vt:i4>
      </vt:variant>
      <vt:variant>
        <vt:i4>5</vt:i4>
      </vt:variant>
      <vt:variant>
        <vt:lpwstr>mailto:nigoramatkarimova9@gmail.com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cp:lastModifiedBy>NITRO 5</cp:lastModifiedBy>
  <cp:revision>7</cp:revision>
  <cp:lastPrinted>2015-05-12T18:31:00Z</cp:lastPrinted>
  <dcterms:created xsi:type="dcterms:W3CDTF">2026-09-08T07:10:00Z</dcterms:created>
  <dcterms:modified xsi:type="dcterms:W3CDTF">2026-09-08T07:26:00Z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